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A1" w:rsidRDefault="005014CC" w:rsidP="00410107">
      <w:pPr>
        <w:adjustRightInd w:val="0"/>
        <w:snapToGrid w:val="0"/>
        <w:spacing w:afterLines="50" w:line="500" w:lineRule="exact"/>
        <w:rPr>
          <w:rFonts w:eastAsia="方正小标宋简体"/>
          <w:sz w:val="36"/>
          <w:szCs w:val="30"/>
        </w:rPr>
      </w:pPr>
      <w:r>
        <w:rPr>
          <w:rFonts w:ascii="黑体" w:eastAsia="黑体" w:hAnsi="黑体" w:hint="eastAsia"/>
          <w:b/>
          <w:sz w:val="32"/>
          <w:szCs w:val="30"/>
        </w:rPr>
        <w:t>附件</w:t>
      </w:r>
      <w:r>
        <w:rPr>
          <w:rFonts w:ascii="黑体" w:eastAsia="黑体" w:hAnsi="黑体" w:hint="eastAsia"/>
          <w:b/>
          <w:sz w:val="32"/>
          <w:szCs w:val="30"/>
        </w:rPr>
        <w:t>1</w:t>
      </w:r>
    </w:p>
    <w:p w:rsidR="00013CA1" w:rsidRDefault="005014CC" w:rsidP="00410107">
      <w:pPr>
        <w:adjustRightInd w:val="0"/>
        <w:snapToGrid w:val="0"/>
        <w:spacing w:afterLines="50"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w:t>
      </w:r>
      <w:r>
        <w:rPr>
          <w:rFonts w:eastAsia="方正小标宋简体" w:hint="eastAsia"/>
          <w:b/>
          <w:sz w:val="36"/>
          <w:szCs w:val="30"/>
        </w:rPr>
        <w:t>20</w:t>
      </w:r>
      <w:r>
        <w:rPr>
          <w:rFonts w:eastAsia="方正小标宋简体"/>
          <w:b/>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8"/>
        <w:gridCol w:w="3820"/>
        <w:gridCol w:w="7374"/>
        <w:gridCol w:w="2829"/>
      </w:tblGrid>
      <w:tr w:rsidR="00013CA1">
        <w:trPr>
          <w:trHeight w:val="643"/>
          <w:tblHeader/>
          <w:jc w:val="center"/>
        </w:trPr>
        <w:tc>
          <w:tcPr>
            <w:tcW w:w="848" w:type="dxa"/>
            <w:tcMar>
              <w:left w:w="45" w:type="dxa"/>
              <w:right w:w="45" w:type="dxa"/>
            </w:tcMar>
            <w:vAlign w:val="center"/>
          </w:tcPr>
          <w:p w:rsidR="00013CA1" w:rsidRDefault="005014CC">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013CA1" w:rsidRDefault="005014CC">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013CA1" w:rsidRDefault="005014CC">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013CA1" w:rsidRDefault="005014CC">
            <w:pPr>
              <w:spacing w:line="300" w:lineRule="exact"/>
              <w:jc w:val="center"/>
              <w:rPr>
                <w:rFonts w:eastAsia="黑体"/>
                <w:b/>
                <w:bCs/>
                <w:kern w:val="0"/>
                <w:szCs w:val="21"/>
              </w:rPr>
            </w:pPr>
            <w:r>
              <w:rPr>
                <w:rFonts w:eastAsia="黑体" w:hint="eastAsia"/>
                <w:b/>
                <w:bCs/>
                <w:kern w:val="0"/>
                <w:szCs w:val="21"/>
              </w:rPr>
              <w:t>情况记录</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013CA1" w:rsidRDefault="005014CC">
            <w:pPr>
              <w:widowControl/>
              <w:spacing w:line="300" w:lineRule="exact"/>
              <w:rPr>
                <w:b/>
                <w:kern w:val="0"/>
                <w:szCs w:val="21"/>
              </w:rPr>
            </w:pPr>
            <w:r>
              <w:rPr>
                <w:rFonts w:hint="eastAsia"/>
                <w:b/>
                <w:kern w:val="0"/>
                <w:szCs w:val="21"/>
              </w:rPr>
              <w:t>责任体系</w:t>
            </w:r>
          </w:p>
        </w:tc>
      </w:tr>
      <w:tr w:rsidR="00013CA1">
        <w:trPr>
          <w:trHeight w:val="90"/>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013CA1" w:rsidRDefault="005014CC">
            <w:pPr>
              <w:widowControl/>
              <w:spacing w:line="300" w:lineRule="exact"/>
              <w:rPr>
                <w:b/>
                <w:kern w:val="0"/>
                <w:szCs w:val="21"/>
              </w:rPr>
            </w:pPr>
            <w:r>
              <w:rPr>
                <w:b/>
                <w:kern w:val="0"/>
                <w:szCs w:val="21"/>
              </w:rPr>
              <w:t>学校层面安全责任体系</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013CA1" w:rsidRDefault="005014CC">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，明确人员和分工</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013CA1" w:rsidRDefault="005014CC">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有处级实验室安全主管职能部门，其他相关职能部门分工合作；</w:t>
            </w:r>
            <w:r>
              <w:rPr>
                <w:rFonts w:hint="eastAsia"/>
                <w:bCs/>
                <w:kern w:val="0"/>
                <w:szCs w:val="21"/>
              </w:rPr>
              <w:t>建议</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w:t>
            </w:r>
            <w:r>
              <w:rPr>
                <w:rFonts w:hint="eastAsia"/>
                <w:kern w:val="0"/>
                <w:szCs w:val="21"/>
              </w:rPr>
              <w:t>设立</w:t>
            </w:r>
            <w:r>
              <w:rPr>
                <w:kern w:val="0"/>
                <w:szCs w:val="21"/>
              </w:rPr>
              <w:t>实验室安全管理科室</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有在</w:t>
            </w:r>
            <w:r>
              <w:rPr>
                <w:kern w:val="0"/>
                <w:szCs w:val="21"/>
              </w:rPr>
              <w:t>任期内</w:t>
            </w:r>
            <w:r>
              <w:rPr>
                <w:rFonts w:hint="eastAsia"/>
                <w:kern w:val="0"/>
                <w:szCs w:val="21"/>
              </w:rPr>
              <w:t>的</w:t>
            </w:r>
            <w:r>
              <w:rPr>
                <w:bCs/>
                <w:kern w:val="0"/>
                <w:szCs w:val="21"/>
              </w:rPr>
              <w:t>校领导签</w:t>
            </w:r>
            <w:r>
              <w:rPr>
                <w:rFonts w:hint="eastAsia"/>
                <w:bCs/>
                <w:kern w:val="0"/>
                <w:szCs w:val="21"/>
              </w:rPr>
              <w:t>字</w:t>
            </w:r>
            <w:r>
              <w:rPr>
                <w:bCs/>
                <w:kern w:val="0"/>
                <w:szCs w:val="21"/>
              </w:rPr>
              <w:t>，</w:t>
            </w:r>
            <w:r>
              <w:rPr>
                <w:rFonts w:hint="eastAsia"/>
                <w:bCs/>
                <w:kern w:val="0"/>
                <w:szCs w:val="21"/>
              </w:rPr>
              <w:t>院系</w:t>
            </w:r>
            <w:r>
              <w:rPr>
                <w:bCs/>
                <w:kern w:val="0"/>
                <w:szCs w:val="21"/>
              </w:rPr>
              <w:t>单位有主</w:t>
            </w:r>
            <w:r>
              <w:rPr>
                <w:rFonts w:hint="eastAsia"/>
                <w:bCs/>
                <w:kern w:val="0"/>
                <w:szCs w:val="21"/>
              </w:rPr>
              <w:t>管</w:t>
            </w:r>
            <w:r>
              <w:rPr>
                <w:bCs/>
                <w:kern w:val="0"/>
                <w:szCs w:val="21"/>
              </w:rPr>
              <w:t>领导签</w:t>
            </w:r>
            <w:r>
              <w:rPr>
                <w:rFonts w:hint="eastAsia"/>
                <w:bCs/>
                <w:kern w:val="0"/>
                <w:szCs w:val="21"/>
              </w:rPr>
              <w:t>字</w:t>
            </w:r>
            <w:r>
              <w:rPr>
                <w:bCs/>
                <w:kern w:val="0"/>
                <w:szCs w:val="21"/>
              </w:rPr>
              <w:t>及盖</w:t>
            </w:r>
            <w:r>
              <w:rPr>
                <w:kern w:val="0"/>
                <w:szCs w:val="21"/>
              </w:rPr>
              <w:t>章</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013CA1" w:rsidRDefault="005014CC">
            <w:pPr>
              <w:widowControl/>
              <w:spacing w:line="300" w:lineRule="exact"/>
              <w:rPr>
                <w:b/>
                <w:kern w:val="0"/>
                <w:szCs w:val="21"/>
              </w:rPr>
            </w:pPr>
            <w:r>
              <w:rPr>
                <w:b/>
                <w:kern w:val="0"/>
                <w:szCs w:val="21"/>
              </w:rPr>
              <w:t>院系层面安全责任体系</w:t>
            </w:r>
          </w:p>
        </w:tc>
      </w:tr>
      <w:tr w:rsidR="00013CA1">
        <w:trPr>
          <w:trHeight w:val="90"/>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有</w:t>
            </w:r>
            <w:r>
              <w:rPr>
                <w:kern w:val="0"/>
                <w:szCs w:val="21"/>
              </w:rPr>
              <w:t>实验室安全管理责任书</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013CA1" w:rsidRDefault="005014CC">
            <w:pPr>
              <w:widowControl/>
              <w:spacing w:line="300" w:lineRule="exact"/>
              <w:rPr>
                <w:b/>
                <w:bCs/>
                <w:kern w:val="0"/>
                <w:szCs w:val="21"/>
              </w:rPr>
            </w:pPr>
            <w:r>
              <w:rPr>
                <w:b/>
                <w:bCs/>
                <w:kern w:val="0"/>
                <w:szCs w:val="21"/>
              </w:rPr>
              <w:t>经费保障</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013CA1" w:rsidRDefault="005014CC">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013CA1" w:rsidRDefault="00013CA1">
            <w:pPr>
              <w:widowControl/>
              <w:spacing w:line="300" w:lineRule="exact"/>
              <w:jc w:val="left"/>
              <w:rPr>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013CA1" w:rsidRDefault="005014CC">
            <w:pPr>
              <w:widowControl/>
              <w:spacing w:line="300" w:lineRule="exact"/>
              <w:rPr>
                <w:b/>
                <w:bCs/>
                <w:kern w:val="0"/>
                <w:szCs w:val="21"/>
              </w:rPr>
            </w:pPr>
            <w:r>
              <w:rPr>
                <w:rFonts w:hint="eastAsia"/>
                <w:b/>
                <w:bCs/>
                <w:kern w:val="0"/>
                <w:szCs w:val="21"/>
              </w:rPr>
              <w:t>队伍建设</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lastRenderedPageBreak/>
              <w:t>1</w:t>
            </w:r>
            <w:r>
              <w:rPr>
                <w:kern w:val="0"/>
                <w:szCs w:val="21"/>
              </w:rPr>
              <w:t>.4.1</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；推进专业安全队伍建设，保障队伍稳定和可持续发展</w:t>
            </w:r>
          </w:p>
        </w:tc>
        <w:tc>
          <w:tcPr>
            <w:tcW w:w="2829" w:type="dxa"/>
            <w:tcMar>
              <w:left w:w="45" w:type="dxa"/>
              <w:right w:w="45" w:type="dxa"/>
            </w:tcMar>
            <w:vAlign w:val="center"/>
          </w:tcPr>
          <w:p w:rsidR="00013CA1" w:rsidRDefault="00013CA1">
            <w:pPr>
              <w:widowControl/>
              <w:spacing w:line="300" w:lineRule="exact"/>
              <w:jc w:val="left"/>
              <w:rPr>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1.4.2</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013CA1" w:rsidRDefault="00013CA1">
            <w:pPr>
              <w:widowControl/>
              <w:spacing w:line="300" w:lineRule="exact"/>
              <w:jc w:val="left"/>
              <w:rPr>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各级主管实验室安全的负责人和</w:t>
            </w:r>
            <w:r>
              <w:rPr>
                <w:kern w:val="0"/>
                <w:szCs w:val="21"/>
              </w:rPr>
              <w:t>管理人员</w:t>
            </w:r>
            <w:r>
              <w:rPr>
                <w:rFonts w:hint="eastAsia"/>
                <w:kern w:val="0"/>
                <w:szCs w:val="21"/>
              </w:rPr>
              <w:t>到岗一年内须接受实验室安全管理培训</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有培训证书</w:t>
            </w:r>
          </w:p>
        </w:tc>
        <w:tc>
          <w:tcPr>
            <w:tcW w:w="2829" w:type="dxa"/>
            <w:tcMar>
              <w:left w:w="45" w:type="dxa"/>
              <w:right w:w="45" w:type="dxa"/>
            </w:tcMar>
            <w:vAlign w:val="center"/>
          </w:tcPr>
          <w:p w:rsidR="00013CA1" w:rsidRDefault="00013CA1">
            <w:pPr>
              <w:widowControl/>
              <w:spacing w:line="300" w:lineRule="exact"/>
              <w:jc w:val="left"/>
              <w:rPr>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其它</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和监控预警系统</w:t>
            </w:r>
          </w:p>
        </w:tc>
        <w:tc>
          <w:tcPr>
            <w:tcW w:w="2829" w:type="dxa"/>
            <w:tcMar>
              <w:left w:w="45" w:type="dxa"/>
              <w:right w:w="45" w:type="dxa"/>
            </w:tcMar>
            <w:vAlign w:val="center"/>
          </w:tcPr>
          <w:p w:rsidR="00013CA1" w:rsidRDefault="00013CA1">
            <w:pPr>
              <w:widowControl/>
              <w:spacing w:line="300" w:lineRule="exact"/>
              <w:jc w:val="left"/>
              <w:rPr>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013CA1" w:rsidRDefault="005014CC">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013CA1" w:rsidRDefault="00013CA1">
            <w:pPr>
              <w:widowControl/>
              <w:spacing w:line="300" w:lineRule="exact"/>
              <w:jc w:val="left"/>
              <w:rPr>
                <w:kern w:val="0"/>
                <w:szCs w:val="21"/>
              </w:rPr>
            </w:pPr>
          </w:p>
        </w:tc>
      </w:tr>
      <w:tr w:rsidR="00013CA1">
        <w:trPr>
          <w:trHeight w:val="407"/>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b/>
                <w:kern w:val="0"/>
                <w:szCs w:val="21"/>
              </w:rPr>
              <w:t>规章制度</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b/>
                <w:kern w:val="0"/>
                <w:szCs w:val="21"/>
              </w:rPr>
              <w:t>实验室安全管理制度</w:t>
            </w:r>
          </w:p>
        </w:tc>
      </w:tr>
      <w:tr w:rsidR="00013CA1">
        <w:trPr>
          <w:trHeight w:val="585"/>
          <w:jc w:val="center"/>
        </w:trPr>
        <w:tc>
          <w:tcPr>
            <w:tcW w:w="848" w:type="dxa"/>
            <w:tcMar>
              <w:left w:w="45" w:type="dxa"/>
              <w:right w:w="45" w:type="dxa"/>
            </w:tcMar>
            <w:vAlign w:val="center"/>
          </w:tcPr>
          <w:p w:rsidR="00013CA1" w:rsidRDefault="005014CC">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013CA1" w:rsidRDefault="005014CC">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培训制度等管理细则；制度文件有学校正式发文号；文件应及时修订更新；文件应具有可操作性或实际管理效用</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491"/>
          <w:jc w:val="center"/>
        </w:trPr>
        <w:tc>
          <w:tcPr>
            <w:tcW w:w="848"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013CA1" w:rsidRDefault="00013CA1">
            <w:pPr>
              <w:spacing w:line="300" w:lineRule="exact"/>
              <w:rPr>
                <w:bCs/>
                <w:kern w:val="0"/>
                <w:szCs w:val="21"/>
              </w:rPr>
            </w:pP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491"/>
          <w:jc w:val="center"/>
        </w:trPr>
        <w:tc>
          <w:tcPr>
            <w:tcW w:w="848"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013CA1" w:rsidRDefault="005014CC">
            <w:pPr>
              <w:spacing w:line="300" w:lineRule="exact"/>
              <w:rPr>
                <w:bCs/>
                <w:kern w:val="0"/>
                <w:szCs w:val="21"/>
              </w:rPr>
            </w:pPr>
            <w:r>
              <w:rPr>
                <w:rFonts w:hint="eastAsia"/>
                <w:bCs/>
                <w:kern w:val="0"/>
                <w:szCs w:val="21"/>
              </w:rPr>
              <w:t>建</w:t>
            </w:r>
            <w:r>
              <w:rPr>
                <w:bCs/>
                <w:kern w:val="0"/>
                <w:szCs w:val="21"/>
              </w:rPr>
              <w:t>有学科特色的实验室安全管理制度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安全教育</w:t>
            </w:r>
            <w:r>
              <w:rPr>
                <w:b/>
                <w:kern w:val="0"/>
                <w:szCs w:val="21"/>
              </w:rPr>
              <w:t>活动</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对于化学、生物、辐射等高风险的相关院系和专业，要开设有学分的安全教育必修课；鼓励其他专业开设安全选修课</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lastRenderedPageBreak/>
              <w:t>3.1.2</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013CA1" w:rsidRDefault="005014CC">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013CA1" w:rsidRDefault="005014CC">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013CA1" w:rsidRDefault="005014CC">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w:t>
            </w:r>
            <w:r>
              <w:rPr>
                <w:kern w:val="0"/>
                <w:szCs w:val="21"/>
              </w:rPr>
              <w:t>新教工、本科生和研究生新生</w:t>
            </w:r>
            <w:r>
              <w:rPr>
                <w:rFonts w:hint="eastAsia"/>
                <w:kern w:val="0"/>
                <w:szCs w:val="21"/>
              </w:rPr>
              <w:t>均需参加考试，通过者发放合格证书</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安全文化</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将实验室安全手册</w:t>
            </w:r>
            <w:r>
              <w:rPr>
                <w:kern w:val="0"/>
                <w:szCs w:val="21"/>
              </w:rPr>
              <w:t>发放到每一位师生</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013CA1" w:rsidRDefault="005014CC">
            <w:pPr>
              <w:widowControl/>
              <w:spacing w:line="300" w:lineRule="exact"/>
              <w:jc w:val="left"/>
              <w:rPr>
                <w:b/>
                <w:bCs/>
                <w:kern w:val="0"/>
                <w:szCs w:val="21"/>
              </w:rPr>
            </w:pPr>
            <w:r>
              <w:rPr>
                <w:rFonts w:hint="eastAsia"/>
                <w:b/>
                <w:bCs/>
                <w:kern w:val="0"/>
                <w:szCs w:val="21"/>
              </w:rPr>
              <w:t>安全检查</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013CA1" w:rsidRDefault="005014CC">
            <w:pPr>
              <w:widowControl/>
              <w:spacing w:line="300" w:lineRule="exact"/>
              <w:jc w:val="left"/>
              <w:rPr>
                <w:b/>
                <w:bCs/>
                <w:kern w:val="0"/>
                <w:szCs w:val="21"/>
              </w:rPr>
            </w:pPr>
            <w:r>
              <w:rPr>
                <w:rFonts w:hint="eastAsia"/>
                <w:b/>
                <w:bCs/>
                <w:kern w:val="0"/>
                <w:szCs w:val="21"/>
              </w:rPr>
              <w:t>危险源辨识</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013CA1" w:rsidRDefault="005014CC">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013CA1" w:rsidRDefault="005014CC">
            <w:pPr>
              <w:widowControl/>
              <w:spacing w:line="300" w:lineRule="exact"/>
              <w:jc w:val="left"/>
              <w:rPr>
                <w:b/>
                <w:bCs/>
                <w:kern w:val="0"/>
                <w:szCs w:val="21"/>
              </w:rPr>
            </w:pPr>
            <w:r>
              <w:rPr>
                <w:rFonts w:hint="eastAsia"/>
                <w:b/>
                <w:bCs/>
                <w:kern w:val="0"/>
                <w:szCs w:val="21"/>
              </w:rPr>
              <w:t>安全检查</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013CA1" w:rsidRDefault="005014CC">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013CA1" w:rsidRDefault="005014CC">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013CA1" w:rsidRDefault="005014CC">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013CA1" w:rsidRDefault="005014CC">
            <w:pPr>
              <w:spacing w:line="300" w:lineRule="exact"/>
              <w:jc w:val="left"/>
              <w:rPr>
                <w:bCs/>
                <w:kern w:val="0"/>
                <w:szCs w:val="21"/>
              </w:rPr>
            </w:pPr>
            <w:r>
              <w:rPr>
                <w:rFonts w:hint="eastAsia"/>
                <w:kern w:val="0"/>
                <w:szCs w:val="21"/>
              </w:rPr>
              <w:t>针对剧毒品、</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房间须建立值日台账</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检查水电气门窗等，并签字</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w:t>
            </w:r>
            <w:r>
              <w:rPr>
                <w:rFonts w:hint="eastAsia"/>
                <w:kern w:val="0"/>
                <w:szCs w:val="21"/>
              </w:rPr>
              <w:lastRenderedPageBreak/>
              <w:t>用具</w:t>
            </w:r>
          </w:p>
        </w:tc>
        <w:tc>
          <w:tcPr>
            <w:tcW w:w="7374" w:type="dxa"/>
            <w:tcMar>
              <w:left w:w="45" w:type="dxa"/>
              <w:right w:w="45" w:type="dxa"/>
            </w:tcMar>
            <w:vAlign w:val="center"/>
          </w:tcPr>
          <w:p w:rsidR="00013CA1" w:rsidRDefault="005014CC">
            <w:pPr>
              <w:widowControl/>
              <w:spacing w:line="300" w:lineRule="exact"/>
              <w:jc w:val="left"/>
              <w:rPr>
                <w:kern w:val="0"/>
                <w:szCs w:val="21"/>
              </w:rPr>
            </w:pPr>
            <w:r>
              <w:rPr>
                <w:szCs w:val="21"/>
              </w:rPr>
              <w:lastRenderedPageBreak/>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w:t>
            </w:r>
            <w:r>
              <w:rPr>
                <w:szCs w:val="21"/>
              </w:rPr>
              <w:lastRenderedPageBreak/>
              <w:t>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lastRenderedPageBreak/>
              <w:t>4.3</w:t>
            </w:r>
          </w:p>
        </w:tc>
        <w:tc>
          <w:tcPr>
            <w:tcW w:w="14023" w:type="dxa"/>
            <w:gridSpan w:val="3"/>
            <w:tcMar>
              <w:left w:w="45" w:type="dxa"/>
              <w:right w:w="45" w:type="dxa"/>
            </w:tcMar>
            <w:vAlign w:val="center"/>
          </w:tcPr>
          <w:p w:rsidR="00013CA1" w:rsidRDefault="005014CC">
            <w:pPr>
              <w:widowControl/>
              <w:spacing w:line="300" w:lineRule="exact"/>
              <w:jc w:val="left"/>
              <w:rPr>
                <w:b/>
                <w:bCs/>
                <w:kern w:val="0"/>
                <w:szCs w:val="21"/>
              </w:rPr>
            </w:pPr>
            <w:r>
              <w:rPr>
                <w:rFonts w:hint="eastAsia"/>
                <w:b/>
                <w:bCs/>
                <w:kern w:val="0"/>
                <w:szCs w:val="21"/>
              </w:rPr>
              <w:t>安全隐患整改</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应以书面形式通知到相关负责人</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通知的方式包括校网上公告、实验室安全简报、整改通知书等形式。其中整改通知书要包含问题描述、整改要求和期限、职能部门盖章等，并由被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安全报告</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查看相关资料</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查看相应存档内容</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实验</w:t>
            </w:r>
            <w:r>
              <w:rPr>
                <w:b/>
                <w:kern w:val="0"/>
                <w:szCs w:val="21"/>
              </w:rPr>
              <w:t>场所</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b/>
                <w:kern w:val="0"/>
                <w:szCs w:val="21"/>
              </w:rPr>
              <w:t>场所</w:t>
            </w:r>
            <w:r>
              <w:rPr>
                <w:rFonts w:hint="eastAsia"/>
                <w:b/>
                <w:kern w:val="0"/>
                <w:szCs w:val="21"/>
              </w:rPr>
              <w:t>环境</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013CA1" w:rsidRDefault="005014CC">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r>
              <w:rPr>
                <w:szCs w:val="21"/>
              </w:rPr>
              <w:t>操作区层高不低于</w:t>
            </w:r>
            <w:r>
              <w:rPr>
                <w:rFonts w:hint="eastAsia"/>
                <w:szCs w:val="21"/>
              </w:rPr>
              <w:t>2</w:t>
            </w:r>
            <w:r>
              <w:rPr>
                <w:rFonts w:hint="eastAsia"/>
                <w:szCs w:val="21"/>
              </w:rPr>
              <w:t>米；理工农医类实验室人均面积不小于</w:t>
            </w:r>
            <w:r>
              <w:rPr>
                <w:rFonts w:hint="eastAsia"/>
                <w:szCs w:val="21"/>
              </w:rPr>
              <w:t>2.5</w:t>
            </w:r>
            <w:r>
              <w:rPr>
                <w:rFonts w:hint="eastAsia"/>
                <w:szCs w:val="21"/>
              </w:rPr>
              <w:t>平方米</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013CA1" w:rsidRDefault="005014CC">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013CA1" w:rsidRDefault="005014CC">
            <w:pPr>
              <w:widowControl/>
              <w:spacing w:line="300" w:lineRule="exact"/>
              <w:jc w:val="left"/>
              <w:rPr>
                <w:bCs/>
                <w:szCs w:val="21"/>
              </w:rPr>
            </w:pPr>
            <w:r>
              <w:rPr>
                <w:rFonts w:hint="eastAsia"/>
                <w:szCs w:val="21"/>
              </w:rPr>
              <w:t>应急备用钥匙需集中存放、专人管理，应急时方便取用</w:t>
            </w:r>
          </w:p>
        </w:tc>
        <w:tc>
          <w:tcPr>
            <w:tcW w:w="2829" w:type="dxa"/>
            <w:tcMar>
              <w:left w:w="45" w:type="dxa"/>
              <w:right w:w="45" w:type="dxa"/>
            </w:tcMar>
            <w:vAlign w:val="center"/>
          </w:tcPr>
          <w:p w:rsidR="00013CA1" w:rsidRDefault="00013CA1">
            <w:pPr>
              <w:widowControl/>
              <w:spacing w:line="300" w:lineRule="exact"/>
              <w:jc w:val="left"/>
              <w:rPr>
                <w:bCs/>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rPr>
                <w:kern w:val="0"/>
                <w:szCs w:val="21"/>
              </w:rPr>
            </w:pPr>
            <w:r>
              <w:rPr>
                <w:rFonts w:eastAsia="等线"/>
                <w:szCs w:val="21"/>
              </w:rPr>
              <w:t>5.1.6</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t>70</w:t>
            </w:r>
            <w:r>
              <w:rPr>
                <w:rFonts w:hint="eastAsia"/>
                <w:szCs w:val="21"/>
              </w:rPr>
              <w:t>分贝）</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rPr>
                <w:rFonts w:eastAsia="等线"/>
                <w:kern w:val="0"/>
                <w:szCs w:val="21"/>
              </w:rPr>
            </w:pPr>
            <w:r>
              <w:rPr>
                <w:rFonts w:eastAsia="等线"/>
                <w:szCs w:val="21"/>
              </w:rPr>
              <w:lastRenderedPageBreak/>
              <w:t>5.1.7</w:t>
            </w:r>
          </w:p>
        </w:tc>
        <w:tc>
          <w:tcPr>
            <w:tcW w:w="3820" w:type="dxa"/>
            <w:tcMar>
              <w:left w:w="45" w:type="dxa"/>
              <w:right w:w="45" w:type="dxa"/>
            </w:tcMar>
            <w:vAlign w:val="center"/>
          </w:tcPr>
          <w:p w:rsidR="00013CA1" w:rsidRDefault="005014CC">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013CA1" w:rsidRDefault="005014CC">
            <w:pPr>
              <w:spacing w:line="300" w:lineRule="exact"/>
              <w:jc w:val="left"/>
              <w:rPr>
                <w:bCs/>
                <w:szCs w:val="21"/>
              </w:rPr>
            </w:pPr>
            <w:r>
              <w:rPr>
                <w:rFonts w:hint="eastAsia"/>
                <w:szCs w:val="21"/>
              </w:rPr>
              <w:t>采用管道供气的实验室，输气管道及阀门无破损现象，并有明确标识</w:t>
            </w:r>
            <w:r>
              <w:rPr>
                <w:rFonts w:hint="eastAsia"/>
                <w:bCs/>
                <w:szCs w:val="21"/>
              </w:rPr>
              <w:t>；供气管道有标识，无破损；</w:t>
            </w:r>
            <w:r>
              <w:rPr>
                <w:rFonts w:hint="eastAsia"/>
                <w:szCs w:val="21"/>
              </w:rPr>
              <w:t>高温、明火设备放置位置与气体管道有安全间隔距离</w:t>
            </w:r>
          </w:p>
        </w:tc>
        <w:tc>
          <w:tcPr>
            <w:tcW w:w="2829" w:type="dxa"/>
            <w:tcMar>
              <w:left w:w="45" w:type="dxa"/>
              <w:right w:w="45" w:type="dxa"/>
            </w:tcMar>
            <w:vAlign w:val="center"/>
          </w:tcPr>
          <w:p w:rsidR="00013CA1" w:rsidRDefault="00013CA1">
            <w:pPr>
              <w:spacing w:line="300" w:lineRule="exact"/>
              <w:jc w:val="left"/>
              <w:rPr>
                <w:bCs/>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b/>
                <w:kern w:val="0"/>
                <w:szCs w:val="21"/>
              </w:rPr>
              <w:t>卫生与</w:t>
            </w:r>
            <w:r>
              <w:rPr>
                <w:rFonts w:hint="eastAsia"/>
                <w:b/>
                <w:kern w:val="0"/>
                <w:szCs w:val="21"/>
              </w:rPr>
              <w:t>日常管理</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013CA1" w:rsidRDefault="005014CC">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013CA1" w:rsidRDefault="005014CC">
            <w:pPr>
              <w:spacing w:line="300" w:lineRule="exact"/>
              <w:jc w:val="left"/>
              <w:rPr>
                <w:bCs/>
                <w:szCs w:val="21"/>
              </w:rPr>
            </w:pPr>
            <w:r>
              <w:rPr>
                <w:rFonts w:hint="eastAsia"/>
                <w:szCs w:val="21"/>
              </w:rPr>
              <w:t>有毒有害实验区与学习区明确分开，合理布局，</w:t>
            </w:r>
            <w:r>
              <w:rPr>
                <w:rFonts w:hint="eastAsia"/>
                <w:bCs/>
                <w:szCs w:val="21"/>
              </w:rPr>
              <w:t>重点关注化学</w:t>
            </w:r>
            <w:r>
              <w:rPr>
                <w:bCs/>
                <w:szCs w:val="21"/>
              </w:rPr>
              <w:t>、生物类实验室</w:t>
            </w:r>
          </w:p>
        </w:tc>
        <w:tc>
          <w:tcPr>
            <w:tcW w:w="2829" w:type="dxa"/>
            <w:tcMar>
              <w:left w:w="45" w:type="dxa"/>
              <w:right w:w="45" w:type="dxa"/>
            </w:tcMar>
            <w:vAlign w:val="center"/>
          </w:tcPr>
          <w:p w:rsidR="00013CA1" w:rsidRDefault="00013CA1">
            <w:pPr>
              <w:spacing w:line="300" w:lineRule="exact"/>
              <w:jc w:val="left"/>
              <w:rPr>
                <w:bCs/>
                <w:szCs w:val="21"/>
              </w:rPr>
            </w:pPr>
          </w:p>
        </w:tc>
      </w:tr>
      <w:tr w:rsidR="00013CA1">
        <w:trPr>
          <w:trHeight w:val="369"/>
          <w:jc w:val="center"/>
        </w:trPr>
        <w:tc>
          <w:tcPr>
            <w:tcW w:w="848" w:type="dxa"/>
            <w:tcMar>
              <w:left w:w="45" w:type="dxa"/>
              <w:right w:w="45" w:type="dxa"/>
            </w:tcMar>
            <w:vAlign w:val="center"/>
          </w:tcPr>
          <w:p w:rsidR="00013CA1" w:rsidRDefault="005014CC">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013CA1" w:rsidRDefault="005014CC">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013CA1" w:rsidRDefault="005014CC">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不在实验室睡觉过夜，不存放和烧煮食物、饮食，不准吸烟、不使用可燃性蚊香</w:t>
            </w:r>
          </w:p>
        </w:tc>
        <w:tc>
          <w:tcPr>
            <w:tcW w:w="2829" w:type="dxa"/>
            <w:tcMar>
              <w:left w:w="45" w:type="dxa"/>
              <w:right w:w="45" w:type="dxa"/>
            </w:tcMar>
            <w:vAlign w:val="center"/>
          </w:tcPr>
          <w:p w:rsidR="00013CA1" w:rsidRDefault="00013CA1">
            <w:pPr>
              <w:spacing w:line="300" w:lineRule="exact"/>
              <w:jc w:val="left"/>
              <w:rPr>
                <w:bCs/>
                <w:szCs w:val="21"/>
              </w:rPr>
            </w:pPr>
          </w:p>
        </w:tc>
      </w:tr>
      <w:tr w:rsidR="00013CA1">
        <w:trPr>
          <w:trHeight w:val="369"/>
          <w:jc w:val="center"/>
        </w:trPr>
        <w:tc>
          <w:tcPr>
            <w:tcW w:w="848" w:type="dxa"/>
            <w:tcMar>
              <w:left w:w="45" w:type="dxa"/>
              <w:right w:w="45" w:type="dxa"/>
            </w:tcMar>
            <w:vAlign w:val="center"/>
          </w:tcPr>
          <w:p w:rsidR="00013CA1" w:rsidRDefault="005014CC">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013CA1" w:rsidRDefault="005014CC">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013CA1" w:rsidRDefault="005014CC">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013CA1" w:rsidRDefault="00013CA1">
            <w:pPr>
              <w:spacing w:line="300" w:lineRule="exact"/>
              <w:jc w:val="left"/>
              <w:rPr>
                <w:bCs/>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b/>
                <w:kern w:val="0"/>
                <w:szCs w:val="21"/>
              </w:rPr>
              <w:t>场所其它安全</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013CA1" w:rsidRDefault="005014CC">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013CA1" w:rsidRDefault="005014CC">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013CA1" w:rsidRDefault="00013CA1">
            <w:pPr>
              <w:spacing w:line="300" w:lineRule="exact"/>
              <w:jc w:val="left"/>
              <w:rPr>
                <w:bCs/>
                <w:szCs w:val="21"/>
              </w:rPr>
            </w:pPr>
          </w:p>
        </w:tc>
      </w:tr>
      <w:tr w:rsidR="00013CA1">
        <w:trPr>
          <w:trHeight w:val="369"/>
          <w:jc w:val="center"/>
        </w:trPr>
        <w:tc>
          <w:tcPr>
            <w:tcW w:w="848" w:type="dxa"/>
            <w:tcMar>
              <w:left w:w="45" w:type="dxa"/>
              <w:right w:w="45" w:type="dxa"/>
            </w:tcMar>
            <w:vAlign w:val="center"/>
          </w:tcPr>
          <w:p w:rsidR="00013CA1" w:rsidRDefault="005014CC">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013CA1" w:rsidRDefault="005014CC">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013CA1" w:rsidRDefault="005014CC">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rsidR="00013CA1" w:rsidRDefault="00013CA1">
            <w:pPr>
              <w:spacing w:line="300" w:lineRule="exact"/>
              <w:jc w:val="left"/>
              <w:rPr>
                <w:bCs/>
                <w:szCs w:val="21"/>
              </w:rPr>
            </w:pPr>
          </w:p>
        </w:tc>
      </w:tr>
      <w:tr w:rsidR="00013CA1">
        <w:trPr>
          <w:trHeight w:val="369"/>
          <w:jc w:val="center"/>
        </w:trPr>
        <w:tc>
          <w:tcPr>
            <w:tcW w:w="848" w:type="dxa"/>
            <w:tcMar>
              <w:left w:w="45" w:type="dxa"/>
              <w:right w:w="45" w:type="dxa"/>
            </w:tcMar>
            <w:vAlign w:val="center"/>
          </w:tcPr>
          <w:p w:rsidR="00013CA1" w:rsidRDefault="005014CC">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013CA1" w:rsidRDefault="005014CC">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013CA1" w:rsidRDefault="005014CC">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013CA1" w:rsidRDefault="00013CA1">
            <w:pPr>
              <w:spacing w:line="300" w:lineRule="exact"/>
              <w:jc w:val="left"/>
              <w:rPr>
                <w:bCs/>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013CA1" w:rsidRDefault="005014CC">
            <w:pPr>
              <w:widowControl/>
              <w:spacing w:line="300" w:lineRule="exact"/>
              <w:jc w:val="left"/>
              <w:rPr>
                <w:rFonts w:ascii="宋体" w:hAnsi="宋体"/>
                <w:b/>
                <w:kern w:val="0"/>
                <w:szCs w:val="21"/>
              </w:rPr>
            </w:pPr>
            <w:r>
              <w:rPr>
                <w:rFonts w:ascii="宋体" w:hAnsi="宋体"/>
                <w:b/>
                <w:kern w:val="0"/>
                <w:szCs w:val="21"/>
              </w:rPr>
              <w:t>安全设施</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013CA1" w:rsidRDefault="005014CC">
            <w:pPr>
              <w:widowControl/>
              <w:spacing w:line="300" w:lineRule="exact"/>
              <w:jc w:val="left"/>
              <w:rPr>
                <w:rFonts w:ascii="宋体" w:hAnsi="宋体"/>
                <w:b/>
                <w:kern w:val="0"/>
                <w:szCs w:val="21"/>
              </w:rPr>
            </w:pPr>
            <w:r>
              <w:rPr>
                <w:rFonts w:ascii="宋体" w:hAnsi="宋体"/>
                <w:b/>
                <w:kern w:val="0"/>
                <w:szCs w:val="21"/>
              </w:rPr>
              <w:t>消防设施</w:t>
            </w:r>
          </w:p>
        </w:tc>
      </w:tr>
      <w:tr w:rsidR="00013CA1">
        <w:trPr>
          <w:trHeight w:val="369"/>
          <w:jc w:val="center"/>
        </w:trPr>
        <w:tc>
          <w:tcPr>
            <w:tcW w:w="848" w:type="dxa"/>
            <w:tcMar>
              <w:left w:w="45" w:type="dxa"/>
              <w:right w:w="45" w:type="dxa"/>
            </w:tcMar>
            <w:vAlign w:val="center"/>
          </w:tcPr>
          <w:p w:rsidR="00013CA1" w:rsidRDefault="005014CC">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013CA1" w:rsidRDefault="005014CC">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013CA1" w:rsidRDefault="005014CC">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灭火器、灭火毯、消防沙、消防喷淋等，应正常有效、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013CA1" w:rsidRDefault="00013CA1">
            <w:pPr>
              <w:widowControl/>
              <w:spacing w:line="300" w:lineRule="exact"/>
              <w:jc w:val="left"/>
              <w:rPr>
                <w:rFonts w:ascii="宋体" w:hAnsi="宋体"/>
                <w:bCs/>
                <w:kern w:val="0"/>
                <w:szCs w:val="21"/>
              </w:rPr>
            </w:pPr>
          </w:p>
        </w:tc>
      </w:tr>
      <w:tr w:rsidR="00013CA1">
        <w:trPr>
          <w:trHeight w:val="369"/>
          <w:jc w:val="center"/>
        </w:trPr>
        <w:tc>
          <w:tcPr>
            <w:tcW w:w="848" w:type="dxa"/>
            <w:tcMar>
              <w:left w:w="45" w:type="dxa"/>
              <w:right w:w="45" w:type="dxa"/>
            </w:tcMar>
            <w:vAlign w:val="center"/>
          </w:tcPr>
          <w:p w:rsidR="00013CA1" w:rsidRDefault="005014CC">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013CA1" w:rsidRDefault="005014CC">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013CA1" w:rsidRDefault="005014CC">
            <w:pPr>
              <w:widowControl/>
              <w:spacing w:line="300" w:lineRule="exact"/>
              <w:jc w:val="left"/>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rsidR="00013CA1" w:rsidRDefault="00013CA1">
            <w:pPr>
              <w:widowControl/>
              <w:spacing w:line="300" w:lineRule="exact"/>
              <w:jc w:val="left"/>
              <w:rPr>
                <w:rFonts w:ascii="宋体" w:hAnsi="宋体"/>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013CA1" w:rsidRDefault="005014CC">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6.2.1</w:t>
            </w:r>
          </w:p>
        </w:tc>
        <w:tc>
          <w:tcPr>
            <w:tcW w:w="3820" w:type="dxa"/>
            <w:tcMar>
              <w:left w:w="45" w:type="dxa"/>
              <w:right w:w="45" w:type="dxa"/>
            </w:tcMar>
            <w:vAlign w:val="center"/>
          </w:tcPr>
          <w:p w:rsidR="00013CA1" w:rsidRDefault="005014CC">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013CA1" w:rsidRDefault="005014CC">
            <w:pPr>
              <w:widowControl/>
              <w:spacing w:line="300" w:lineRule="exact"/>
              <w:jc w:val="left"/>
              <w:rPr>
                <w:rFonts w:ascii="宋体" w:hAnsi="宋体"/>
                <w:bCs/>
                <w:kern w:val="0"/>
                <w:szCs w:val="21"/>
              </w:rPr>
            </w:pPr>
            <w:r>
              <w:rPr>
                <w:rFonts w:ascii="宋体" w:hAnsi="宋体" w:hint="eastAsia"/>
                <w:kern w:val="0"/>
                <w:szCs w:val="21"/>
              </w:rPr>
              <w:t>有显著引导标识</w:t>
            </w:r>
          </w:p>
        </w:tc>
        <w:tc>
          <w:tcPr>
            <w:tcW w:w="2829" w:type="dxa"/>
            <w:tcMar>
              <w:left w:w="45" w:type="dxa"/>
              <w:right w:w="45" w:type="dxa"/>
            </w:tcMar>
            <w:vAlign w:val="center"/>
          </w:tcPr>
          <w:p w:rsidR="00013CA1" w:rsidRDefault="00013CA1">
            <w:pPr>
              <w:widowControl/>
              <w:spacing w:line="300" w:lineRule="exact"/>
              <w:jc w:val="left"/>
              <w:rPr>
                <w:rFonts w:ascii="宋体" w:hAnsi="宋体"/>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013CA1" w:rsidRDefault="005014CC">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013CA1" w:rsidRDefault="005014CC">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w:t>
            </w:r>
            <w:r>
              <w:rPr>
                <w:rFonts w:ascii="宋体" w:hAnsi="宋体" w:hint="eastAsia"/>
                <w:kern w:val="0"/>
                <w:szCs w:val="21"/>
              </w:rPr>
              <w:t>30</w:t>
            </w:r>
            <w:r>
              <w:rPr>
                <w:rFonts w:ascii="宋体" w:hAnsi="宋体" w:hint="eastAsia"/>
                <w:kern w:val="0"/>
                <w:szCs w:val="21"/>
              </w:rPr>
              <w:t>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w:t>
            </w:r>
            <w:r>
              <w:rPr>
                <w:rFonts w:ascii="宋体" w:hAnsi="宋体"/>
                <w:kern w:val="0"/>
                <w:szCs w:val="21"/>
              </w:rPr>
              <w:lastRenderedPageBreak/>
              <w:t>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w:t>
            </w:r>
            <w:r>
              <w:rPr>
                <w:rFonts w:ascii="宋体" w:hAnsi="宋体" w:hint="eastAsia"/>
                <w:kern w:val="0"/>
                <w:szCs w:val="21"/>
              </w:rPr>
              <w:t>厘米），</w:t>
            </w:r>
            <w:r>
              <w:rPr>
                <w:rFonts w:ascii="宋体" w:hAnsi="宋体" w:hint="eastAsia"/>
                <w:bCs/>
                <w:kern w:val="0"/>
                <w:szCs w:val="21"/>
              </w:rPr>
              <w:t>水流畅通平稳</w:t>
            </w:r>
          </w:p>
        </w:tc>
        <w:tc>
          <w:tcPr>
            <w:tcW w:w="2829" w:type="dxa"/>
            <w:tcMar>
              <w:left w:w="45" w:type="dxa"/>
              <w:right w:w="45" w:type="dxa"/>
            </w:tcMar>
            <w:vAlign w:val="center"/>
          </w:tcPr>
          <w:p w:rsidR="00013CA1" w:rsidRDefault="00013CA1">
            <w:pPr>
              <w:widowControl/>
              <w:spacing w:line="300" w:lineRule="exact"/>
              <w:jc w:val="left"/>
              <w:rPr>
                <w:rFonts w:ascii="宋体" w:hAnsi="宋体"/>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lastRenderedPageBreak/>
              <w:t>6.2.3</w:t>
            </w:r>
          </w:p>
        </w:tc>
        <w:tc>
          <w:tcPr>
            <w:tcW w:w="3820" w:type="dxa"/>
            <w:tcMar>
              <w:left w:w="45" w:type="dxa"/>
              <w:right w:w="45" w:type="dxa"/>
            </w:tcMar>
            <w:vAlign w:val="center"/>
          </w:tcPr>
          <w:p w:rsidR="00013CA1" w:rsidRDefault="005014CC">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013CA1" w:rsidRDefault="005014CC">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013CA1" w:rsidRDefault="00013CA1">
            <w:pPr>
              <w:widowControl/>
              <w:spacing w:line="300" w:lineRule="exact"/>
              <w:jc w:val="left"/>
              <w:rPr>
                <w:rFonts w:ascii="宋体" w:hAnsi="宋体"/>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013CA1" w:rsidRDefault="005014CC">
            <w:pPr>
              <w:widowControl/>
              <w:spacing w:line="300" w:lineRule="exact"/>
              <w:jc w:val="left"/>
              <w:rPr>
                <w:rFonts w:ascii="宋体" w:hAnsi="宋体"/>
                <w:b/>
                <w:kern w:val="0"/>
                <w:szCs w:val="21"/>
              </w:rPr>
            </w:pPr>
            <w:r>
              <w:rPr>
                <w:rFonts w:ascii="宋体" w:hAnsi="宋体"/>
                <w:b/>
                <w:kern w:val="0"/>
                <w:szCs w:val="21"/>
              </w:rPr>
              <w:t>通风系统</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013CA1" w:rsidRDefault="005014CC">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013CA1" w:rsidRDefault="005014CC">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hint="eastAsia"/>
                <w:kern w:val="0"/>
                <w:szCs w:val="21"/>
              </w:rPr>
              <w:t>0.</w:t>
            </w:r>
            <w:r>
              <w:rPr>
                <w:rFonts w:ascii="宋体" w:hAnsi="宋体"/>
                <w:kern w:val="0"/>
                <w:szCs w:val="21"/>
              </w:rPr>
              <w:t>3</w:t>
            </w:r>
            <w:r>
              <w:rPr>
                <w:rFonts w:ascii="宋体" w:hAnsi="宋体" w:hint="eastAsia"/>
                <w:kern w:val="0"/>
                <w:szCs w:val="21"/>
              </w:rPr>
              <w:t>5-0.</w:t>
            </w:r>
            <w:r>
              <w:rPr>
                <w:rFonts w:ascii="宋体" w:hAnsi="宋体"/>
                <w:kern w:val="0"/>
                <w:szCs w:val="21"/>
              </w:rPr>
              <w:t>7</w:t>
            </w:r>
            <w:r>
              <w:rPr>
                <w:rFonts w:ascii="宋体" w:hAnsi="宋体" w:hint="eastAsia"/>
                <w:kern w:val="0"/>
                <w:szCs w:val="21"/>
              </w:rPr>
              <w:t xml:space="preserve">5 </w:t>
            </w:r>
            <w:r>
              <w:rPr>
                <w:rFonts w:ascii="宋体" w:hAnsi="宋体" w:hint="eastAsia"/>
                <w:kern w:val="0"/>
                <w:szCs w:val="21"/>
              </w:rPr>
              <w:t>米</w:t>
            </w:r>
            <w:r>
              <w:rPr>
                <w:rFonts w:ascii="宋体" w:hAnsi="宋体" w:hint="eastAsia"/>
                <w:kern w:val="0"/>
                <w:szCs w:val="21"/>
              </w:rPr>
              <w:t>/</w:t>
            </w:r>
            <w:r>
              <w:rPr>
                <w:rFonts w:ascii="宋体" w:hAnsi="宋体" w:hint="eastAsia"/>
                <w:kern w:val="0"/>
                <w:szCs w:val="21"/>
              </w:rPr>
              <w:t>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013CA1" w:rsidRDefault="00013CA1">
            <w:pPr>
              <w:widowControl/>
              <w:spacing w:line="300" w:lineRule="exact"/>
              <w:jc w:val="left"/>
              <w:rPr>
                <w:rFonts w:ascii="宋体" w:hAnsi="宋体"/>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013CA1" w:rsidRDefault="005014CC">
            <w:pPr>
              <w:widowControl/>
              <w:spacing w:line="300" w:lineRule="exact"/>
              <w:jc w:val="left"/>
              <w:rPr>
                <w:rFonts w:ascii="宋体" w:hAnsi="宋体"/>
                <w:kern w:val="0"/>
                <w:szCs w:val="21"/>
              </w:rPr>
            </w:pPr>
            <w:r>
              <w:rPr>
                <w:rFonts w:ascii="宋体" w:hAnsi="宋体" w:hint="eastAsia"/>
                <w:kern w:val="0"/>
                <w:szCs w:val="21"/>
              </w:rPr>
              <w:t>通风橱的配置合理、使用正常、操作合规</w:t>
            </w:r>
          </w:p>
        </w:tc>
        <w:tc>
          <w:tcPr>
            <w:tcW w:w="7374" w:type="dxa"/>
            <w:tcMar>
              <w:left w:w="45" w:type="dxa"/>
              <w:right w:w="45" w:type="dxa"/>
            </w:tcMar>
            <w:vAlign w:val="center"/>
          </w:tcPr>
          <w:p w:rsidR="00013CA1" w:rsidRDefault="005014CC">
            <w:pPr>
              <w:widowControl/>
              <w:spacing w:line="300" w:lineRule="exact"/>
              <w:jc w:val="left"/>
              <w:rPr>
                <w:rFonts w:ascii="宋体" w:hAnsi="宋体"/>
                <w:bCs/>
                <w:kern w:val="0"/>
                <w:szCs w:val="21"/>
              </w:rPr>
            </w:pPr>
            <w:r>
              <w:rPr>
                <w:rFonts w:ascii="宋体" w:hAnsi="宋体" w:hint="eastAsia"/>
                <w:kern w:val="0"/>
                <w:szCs w:val="21"/>
              </w:rPr>
              <w:t>根据需要在通风橱管路上安装有毒有害气体的吸附或处理装置（如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）；任何可能产生高浓度有害气体而导致个人曝露、或产生可燃、可爆炸气体或蒸汽而导致积聚的实验，都应在通风橱内进行；进行实验时，可调玻璃视窗开至据台面</w:t>
            </w:r>
            <w:r>
              <w:rPr>
                <w:rFonts w:ascii="宋体" w:hAnsi="宋体" w:hint="eastAsia"/>
                <w:kern w:val="0"/>
                <w:szCs w:val="21"/>
              </w:rPr>
              <w:t>10</w:t>
            </w:r>
            <w:r>
              <w:rPr>
                <w:rFonts w:ascii="宋体" w:hAnsi="宋体"/>
                <w:kern w:val="0"/>
                <w:szCs w:val="21"/>
              </w:rPr>
              <w:t>-</w:t>
            </w:r>
            <w:r>
              <w:rPr>
                <w:rFonts w:ascii="宋体" w:hAnsi="宋体" w:hint="eastAsia"/>
                <w:kern w:val="0"/>
                <w:szCs w:val="21"/>
              </w:rPr>
              <w:t>15</w:t>
            </w:r>
            <w:r>
              <w:rPr>
                <w:rFonts w:ascii="宋体" w:hAnsi="宋体" w:hint="eastAsia"/>
                <w:kern w:val="0"/>
                <w:szCs w:val="21"/>
              </w:rPr>
              <w:t>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实验人员在通风橱进行实验时，避免将头伸入调节门内；不可将一次性手套或较轻的塑料袋等留在通风橱内，以免堵塞排风口；通风橱内放置</w:t>
            </w:r>
            <w:r>
              <w:rPr>
                <w:rFonts w:ascii="宋体" w:hAnsi="宋体"/>
                <w:kern w:val="0"/>
                <w:szCs w:val="21"/>
              </w:rPr>
              <w:t>物品</w:t>
            </w:r>
            <w:r>
              <w:rPr>
                <w:rFonts w:ascii="宋体" w:hAnsi="宋体" w:hint="eastAsia"/>
                <w:kern w:val="0"/>
                <w:szCs w:val="21"/>
              </w:rPr>
              <w:t>应距离调节门内侧</w:t>
            </w:r>
            <w:r>
              <w:rPr>
                <w:rFonts w:ascii="宋体" w:hAnsi="宋体" w:hint="eastAsia"/>
                <w:kern w:val="0"/>
                <w:szCs w:val="21"/>
              </w:rPr>
              <w:t>15</w:t>
            </w:r>
            <w:r>
              <w:rPr>
                <w:rFonts w:ascii="宋体" w:hAnsi="宋体" w:hint="eastAsia"/>
                <w:kern w:val="0"/>
                <w:szCs w:val="21"/>
              </w:rPr>
              <w:t>厘米左右，以免</w:t>
            </w:r>
            <w:r>
              <w:rPr>
                <w:rFonts w:ascii="宋体" w:hAnsi="宋体"/>
                <w:kern w:val="0"/>
                <w:szCs w:val="21"/>
              </w:rPr>
              <w:t>掉落</w:t>
            </w:r>
          </w:p>
        </w:tc>
        <w:tc>
          <w:tcPr>
            <w:tcW w:w="2829" w:type="dxa"/>
            <w:tcMar>
              <w:left w:w="45" w:type="dxa"/>
              <w:right w:w="45" w:type="dxa"/>
            </w:tcMar>
            <w:vAlign w:val="center"/>
          </w:tcPr>
          <w:p w:rsidR="00013CA1" w:rsidRDefault="00013CA1">
            <w:pPr>
              <w:widowControl/>
              <w:spacing w:line="300" w:lineRule="exact"/>
              <w:jc w:val="left"/>
              <w:rPr>
                <w:rFonts w:ascii="宋体" w:hAnsi="宋体"/>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013CA1" w:rsidRDefault="005014CC">
            <w:pPr>
              <w:widowControl/>
              <w:spacing w:line="300" w:lineRule="exact"/>
              <w:jc w:val="left"/>
              <w:rPr>
                <w:rFonts w:ascii="宋体" w:hAnsi="宋体"/>
                <w:b/>
                <w:kern w:val="0"/>
                <w:szCs w:val="21"/>
              </w:rPr>
            </w:pPr>
            <w:r>
              <w:rPr>
                <w:rFonts w:ascii="宋体" w:hAnsi="宋体" w:hint="eastAsia"/>
                <w:b/>
                <w:kern w:val="0"/>
                <w:szCs w:val="21"/>
              </w:rPr>
              <w:t>门禁监控</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013CA1" w:rsidRDefault="005014CC">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013CA1" w:rsidRDefault="005014CC">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剧毒品、放射源存放点等危险源的管理</w:t>
            </w:r>
          </w:p>
        </w:tc>
        <w:tc>
          <w:tcPr>
            <w:tcW w:w="2829" w:type="dxa"/>
            <w:tcMar>
              <w:left w:w="45" w:type="dxa"/>
              <w:right w:w="45" w:type="dxa"/>
            </w:tcMar>
            <w:vAlign w:val="center"/>
          </w:tcPr>
          <w:p w:rsidR="00013CA1" w:rsidRDefault="00013CA1">
            <w:pPr>
              <w:widowControl/>
              <w:spacing w:line="300" w:lineRule="exact"/>
              <w:jc w:val="left"/>
              <w:rPr>
                <w:rFonts w:ascii="宋体" w:hAnsi="宋体"/>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013CA1" w:rsidRDefault="005014CC">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013CA1" w:rsidRDefault="005014CC">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w:t>
            </w:r>
            <w:r>
              <w:rPr>
                <w:rFonts w:ascii="宋体" w:hAnsi="宋体" w:hint="eastAsia"/>
                <w:szCs w:val="21"/>
              </w:rPr>
              <w:t>1</w:t>
            </w:r>
            <w:r>
              <w:rPr>
                <w:rFonts w:ascii="宋体" w:hAnsi="宋体" w:hint="eastAsia"/>
                <w:szCs w:val="21"/>
              </w:rPr>
              <w:t>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013CA1" w:rsidRDefault="00013CA1">
            <w:pPr>
              <w:widowControl/>
              <w:spacing w:line="300" w:lineRule="exact"/>
              <w:jc w:val="left"/>
              <w:rPr>
                <w:rFonts w:ascii="宋体" w:hAnsi="宋体"/>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013CA1" w:rsidRDefault="005014CC">
            <w:pPr>
              <w:widowControl/>
              <w:spacing w:line="300" w:lineRule="exact"/>
              <w:jc w:val="left"/>
              <w:rPr>
                <w:rFonts w:ascii="宋体" w:hAnsi="宋体"/>
                <w:b/>
                <w:szCs w:val="21"/>
              </w:rPr>
            </w:pPr>
            <w:r>
              <w:rPr>
                <w:rFonts w:ascii="宋体" w:hAnsi="宋体" w:hint="eastAsia"/>
                <w:b/>
                <w:szCs w:val="21"/>
              </w:rPr>
              <w:t>实验室防爆</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013CA1" w:rsidRDefault="005014CC">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013CA1" w:rsidRDefault="005014CC">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气体报警系统、监控系统及断电断水应急系统等；对于产生可燃气体或蒸汽的装置，应在其进、出口处安装阻火器；室内应加强通风，以使爆炸物浓度控制在爆炸下限值以下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rsidR="00013CA1" w:rsidRDefault="00013CA1">
            <w:pPr>
              <w:widowControl/>
              <w:spacing w:line="300" w:lineRule="exact"/>
              <w:jc w:val="left"/>
              <w:rPr>
                <w:rFonts w:ascii="宋体" w:hAnsi="宋体"/>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6.5.2</w:t>
            </w:r>
          </w:p>
        </w:tc>
        <w:tc>
          <w:tcPr>
            <w:tcW w:w="3820" w:type="dxa"/>
            <w:tcMar>
              <w:left w:w="45" w:type="dxa"/>
              <w:right w:w="45" w:type="dxa"/>
            </w:tcMar>
            <w:vAlign w:val="center"/>
          </w:tcPr>
          <w:p w:rsidR="00013CA1" w:rsidRDefault="005014CC">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013CA1" w:rsidRDefault="005014CC">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013CA1" w:rsidRDefault="00013CA1">
            <w:pPr>
              <w:widowControl/>
              <w:spacing w:line="300" w:lineRule="exact"/>
              <w:jc w:val="left"/>
              <w:rPr>
                <w:rFonts w:ascii="宋体" w:hAnsi="宋体"/>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基础</w:t>
            </w:r>
            <w:r>
              <w:rPr>
                <w:b/>
                <w:kern w:val="0"/>
                <w:szCs w:val="21"/>
              </w:rPr>
              <w:t>安全</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lastRenderedPageBreak/>
              <w:t>7.1.1</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r>
              <w:rPr>
                <w:rFonts w:hint="eastAsia"/>
                <w:kern w:val="0"/>
                <w:szCs w:val="21"/>
              </w:rPr>
              <w:t>；无人监管状态下，应切断充电器（宝）的充电电源</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个人</w:t>
            </w:r>
            <w:r>
              <w:rPr>
                <w:b/>
                <w:kern w:val="0"/>
                <w:szCs w:val="21"/>
              </w:rPr>
              <w:t>防护</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013CA1" w:rsidRDefault="005014CC">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其它</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b/>
                <w:kern w:val="0"/>
                <w:szCs w:val="21"/>
              </w:rPr>
              <w:t>化学安全</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013CA1" w:rsidRDefault="005014CC">
            <w:pPr>
              <w:widowControl/>
              <w:spacing w:line="300" w:lineRule="exact"/>
              <w:jc w:val="left"/>
              <w:rPr>
                <w:b/>
                <w:bCs/>
                <w:kern w:val="0"/>
                <w:szCs w:val="21"/>
              </w:rPr>
            </w:pPr>
            <w:r>
              <w:rPr>
                <w:rFonts w:hint="eastAsia"/>
                <w:b/>
                <w:bCs/>
                <w:kern w:val="0"/>
                <w:szCs w:val="21"/>
              </w:rPr>
              <w:t>危险化学品购置</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013CA1" w:rsidRDefault="005014CC">
            <w:pPr>
              <w:spacing w:line="300" w:lineRule="exact"/>
              <w:jc w:val="left"/>
              <w:rPr>
                <w:kern w:val="0"/>
                <w:szCs w:val="21"/>
              </w:rPr>
            </w:pP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013CA1" w:rsidRDefault="005014CC">
            <w:pPr>
              <w:spacing w:line="300" w:lineRule="exact"/>
              <w:jc w:val="left"/>
              <w:rPr>
                <w:kern w:val="0"/>
                <w:szCs w:val="21"/>
              </w:rPr>
            </w:pPr>
            <w:r>
              <w:rPr>
                <w:rFonts w:hint="eastAsia"/>
                <w:kern w:val="0"/>
                <w:szCs w:val="21"/>
              </w:rPr>
              <w:t>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w:t>
            </w:r>
            <w:r>
              <w:rPr>
                <w:rFonts w:hint="eastAsia"/>
                <w:kern w:val="0"/>
                <w:szCs w:val="21"/>
              </w:rPr>
              <w:lastRenderedPageBreak/>
              <w:t>资质证书复印件</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lastRenderedPageBreak/>
              <w:t>8.1.2</w:t>
            </w:r>
          </w:p>
        </w:tc>
        <w:tc>
          <w:tcPr>
            <w:tcW w:w="3820" w:type="dxa"/>
            <w:tcMar>
              <w:left w:w="45" w:type="dxa"/>
              <w:right w:w="45" w:type="dxa"/>
            </w:tcMar>
            <w:vAlign w:val="center"/>
          </w:tcPr>
          <w:p w:rsidR="00013CA1" w:rsidRDefault="005014CC">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rsidR="00013CA1" w:rsidRDefault="005014CC">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013CA1" w:rsidRDefault="005014CC">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013CA1" w:rsidRDefault="005014CC">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013CA1" w:rsidRDefault="005014CC">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013CA1" w:rsidRDefault="005014CC">
            <w:pPr>
              <w:widowControl/>
              <w:spacing w:line="300" w:lineRule="exact"/>
              <w:rPr>
                <w:b/>
                <w:kern w:val="0"/>
                <w:szCs w:val="21"/>
              </w:rPr>
            </w:pPr>
            <w:r>
              <w:rPr>
                <w:rFonts w:hint="eastAsia"/>
                <w:kern w:val="0"/>
                <w:szCs w:val="21"/>
              </w:rPr>
              <w:t>实验室</w:t>
            </w:r>
            <w:r>
              <w:rPr>
                <w:kern w:val="0"/>
                <w:szCs w:val="21"/>
              </w:rPr>
              <w:t>内化学品</w:t>
            </w:r>
            <w:r>
              <w:rPr>
                <w:rFonts w:hint="eastAsia"/>
                <w:kern w:val="0"/>
                <w:szCs w:val="21"/>
              </w:rPr>
              <w:t>建有</w:t>
            </w:r>
            <w:r>
              <w:rPr>
                <w:kern w:val="0"/>
                <w:szCs w:val="21"/>
              </w:rPr>
              <w:t>动态台帐</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013CA1" w:rsidRDefault="005014CC">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szCs w:val="21"/>
              </w:rPr>
              <w:t>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或接线板；化学品有序分类存放；配备必要的二次泄漏防护、吸附或防溢流功能；试剂不得叠放、配伍禁忌化学品不得混存、固体液体不混乱放置、氧化和</w:t>
            </w:r>
            <w:r>
              <w:rPr>
                <w:kern w:val="0"/>
                <w:szCs w:val="21"/>
              </w:rPr>
              <w:t>还原化学品不得混放、</w:t>
            </w:r>
            <w:r>
              <w:rPr>
                <w:rFonts w:hint="eastAsia"/>
                <w:kern w:val="0"/>
                <w:szCs w:val="21"/>
              </w:rPr>
              <w:t>装有试剂的试剂瓶不得开口放置；实验台架无挡板不得存放化学试剂</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8.2.4</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化学品标签应显著完整清晰</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实验</w:t>
            </w:r>
            <w:r>
              <w:rPr>
                <w:b/>
                <w:kern w:val="0"/>
                <w:szCs w:val="21"/>
              </w:rPr>
              <w:t>操作安全</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w:t>
            </w:r>
            <w:r>
              <w:rPr>
                <w:rFonts w:hint="eastAsia"/>
                <w:kern w:val="0"/>
                <w:szCs w:val="21"/>
              </w:rPr>
              <w:lastRenderedPageBreak/>
              <w:t>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lastRenderedPageBreak/>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w:t>
            </w:r>
            <w:r>
              <w:rPr>
                <w:rFonts w:hint="eastAsia"/>
                <w:kern w:val="0"/>
                <w:szCs w:val="21"/>
              </w:rPr>
              <w:lastRenderedPageBreak/>
              <w:t>险性及应急处理措施</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lastRenderedPageBreak/>
              <w:t>8.3.2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013CA1" w:rsidRDefault="005014CC">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013CA1" w:rsidRDefault="00013CA1">
            <w:pPr>
              <w:widowControl/>
              <w:spacing w:line="300" w:lineRule="exact"/>
              <w:jc w:val="left"/>
              <w:rPr>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管制类化学品</w:t>
            </w:r>
            <w:r>
              <w:rPr>
                <w:b/>
                <w:kern w:val="0"/>
                <w:szCs w:val="21"/>
              </w:rPr>
              <w:t>管理</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8.4.1</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易制毒品</w:t>
            </w:r>
            <w:r>
              <w:rPr>
                <w:rFonts w:hint="eastAsia"/>
                <w:kern w:val="0"/>
                <w:szCs w:val="21"/>
              </w:rPr>
              <w:t>、易制爆品</w:t>
            </w:r>
            <w:r>
              <w:rPr>
                <w:kern w:val="0"/>
                <w:szCs w:val="21"/>
              </w:rPr>
              <w:t>分类存放、专人保管，做好领取、使用、处置记录</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r>
              <w:rPr>
                <w:rFonts w:hint="eastAsia"/>
                <w:kern w:val="0"/>
                <w:szCs w:val="21"/>
              </w:rPr>
              <w:t>；剧毒品</w:t>
            </w:r>
            <w:r>
              <w:rPr>
                <w:kern w:val="0"/>
                <w:szCs w:val="21"/>
              </w:rPr>
              <w:t>配备专门的保险柜并固定，实行双人双锁保管</w:t>
            </w:r>
            <w:r>
              <w:rPr>
                <w:rFonts w:hint="eastAsia"/>
                <w:kern w:val="0"/>
                <w:szCs w:val="21"/>
              </w:rPr>
              <w:t>制度；</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装置；剧毒品使用时须有两人同时在场；</w:t>
            </w:r>
            <w:r>
              <w:rPr>
                <w:kern w:val="0"/>
                <w:szCs w:val="21"/>
              </w:rPr>
              <w:t>剧毒品处置</w:t>
            </w:r>
            <w:r>
              <w:rPr>
                <w:rFonts w:hint="eastAsia"/>
                <w:kern w:val="0"/>
                <w:szCs w:val="21"/>
              </w:rPr>
              <w:t>建有规范流</w:t>
            </w:r>
            <w:r>
              <w:rPr>
                <w:kern w:val="0"/>
                <w:szCs w:val="21"/>
              </w:rPr>
              <w:t>程</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2</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3</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麻醉品和精神类药品储存于专门的保险柜中，有规范的领取、使用、处置台账</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b/>
                <w:kern w:val="0"/>
                <w:szCs w:val="21"/>
              </w:rPr>
              <w:t>实验气体管理</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r>
              <w:rPr>
                <w:rFonts w:hint="eastAsia"/>
                <w:kern w:val="0"/>
                <w:szCs w:val="21"/>
              </w:rPr>
              <w:t>；</w:t>
            </w: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每间实验室内存放的氧气和可燃气体均不宜超过一瓶，其他气瓶的存放，应控制在最小需求量；</w:t>
            </w:r>
            <w:r>
              <w:rPr>
                <w:kern w:val="0"/>
                <w:szCs w:val="21"/>
              </w:rPr>
              <w:t>气体钢瓶不得放在走廊、大厅等公共场所</w:t>
            </w:r>
            <w:r>
              <w:rPr>
                <w:rFonts w:hint="eastAsia"/>
                <w:kern w:val="0"/>
                <w:szCs w:val="21"/>
              </w:rPr>
              <w:t>；</w:t>
            </w:r>
            <w:r>
              <w:rPr>
                <w:kern w:val="0"/>
                <w:szCs w:val="21"/>
              </w:rPr>
              <w:t>涉及剧毒、易燃易爆气体的场所，配有通风设施和</w:t>
            </w:r>
            <w:r>
              <w:rPr>
                <w:rFonts w:hint="eastAsia"/>
                <w:kern w:val="0"/>
                <w:szCs w:val="21"/>
              </w:rPr>
              <w:t>相应</w:t>
            </w:r>
            <w:r>
              <w:rPr>
                <w:kern w:val="0"/>
                <w:szCs w:val="21"/>
              </w:rPr>
              <w:t>的</w:t>
            </w:r>
            <w:r>
              <w:rPr>
                <w:rFonts w:hint="eastAsia"/>
                <w:kern w:val="0"/>
                <w:szCs w:val="21"/>
              </w:rPr>
              <w:t>气体</w:t>
            </w:r>
            <w:r>
              <w:rPr>
                <w:kern w:val="0"/>
                <w:szCs w:val="21"/>
              </w:rPr>
              <w:t>监控</w:t>
            </w:r>
            <w:r>
              <w:rPr>
                <w:rFonts w:hint="eastAsia"/>
                <w:kern w:val="0"/>
                <w:szCs w:val="21"/>
              </w:rPr>
              <w:t>和</w:t>
            </w:r>
            <w:r>
              <w:rPr>
                <w:kern w:val="0"/>
                <w:szCs w:val="21"/>
              </w:rPr>
              <w:t>报警装置等</w:t>
            </w:r>
            <w:r>
              <w:rPr>
                <w:rFonts w:hint="eastAsia"/>
                <w:kern w:val="0"/>
                <w:szCs w:val="21"/>
              </w:rPr>
              <w:t>，</w:t>
            </w:r>
            <w:r>
              <w:rPr>
                <w:kern w:val="0"/>
                <w:szCs w:val="21"/>
              </w:rPr>
              <w:t>张贴必要的安全警示标识</w:t>
            </w:r>
            <w:r>
              <w:rPr>
                <w:rFonts w:hint="eastAsia"/>
                <w:kern w:val="0"/>
                <w:szCs w:val="21"/>
              </w:rPr>
              <w:t>；</w:t>
            </w:r>
            <w:r>
              <w:rPr>
                <w:kern w:val="0"/>
                <w:szCs w:val="21"/>
              </w:rPr>
              <w:t>可燃性气体与氧气等助燃气体不混放</w:t>
            </w:r>
            <w:r>
              <w:rPr>
                <w:rFonts w:hint="eastAsia"/>
                <w:kern w:val="0"/>
                <w:szCs w:val="21"/>
              </w:rPr>
              <w:t>；建有独</w:t>
            </w:r>
            <w:r>
              <w:rPr>
                <w:kern w:val="0"/>
                <w:szCs w:val="21"/>
              </w:rPr>
              <w:t>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w:t>
            </w:r>
            <w:r>
              <w:rPr>
                <w:rFonts w:hint="eastAsia"/>
                <w:kern w:val="0"/>
                <w:szCs w:val="21"/>
              </w:rPr>
              <w:t>标识、</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设置必要的气体报警装置</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需加装氧含量报警</w:t>
            </w:r>
            <w:r>
              <w:rPr>
                <w:rFonts w:hint="eastAsia"/>
                <w:szCs w:val="21"/>
              </w:rPr>
              <w:t>器</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lastRenderedPageBreak/>
              <w:t>8.5.4</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钢瓶帽；钢瓶中的气体是明确的，无过期钢瓶；确认“满、使用中、空瓶”三种状态；及时关闭气瓶总阀</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b/>
                <w:kern w:val="0"/>
                <w:szCs w:val="21"/>
              </w:rPr>
              <w:t>化学废弃物处置</w:t>
            </w:r>
            <w:r>
              <w:rPr>
                <w:rFonts w:hint="eastAsia"/>
                <w:b/>
                <w:kern w:val="0"/>
                <w:szCs w:val="21"/>
              </w:rPr>
              <w:t>管理</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8.</w:t>
            </w:r>
            <w:r>
              <w:rPr>
                <w:rFonts w:hint="eastAsia"/>
                <w:kern w:val="0"/>
                <w:szCs w:val="21"/>
              </w:rPr>
              <w:t>6</w:t>
            </w:r>
            <w:r>
              <w:rPr>
                <w:kern w:val="0"/>
                <w:szCs w:val="21"/>
              </w:rPr>
              <w:t>.1</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化学废弃物</w:t>
            </w:r>
            <w:r>
              <w:rPr>
                <w:rFonts w:hint="eastAsia"/>
                <w:kern w:val="0"/>
                <w:szCs w:val="21"/>
              </w:rPr>
              <w:t>需</w:t>
            </w:r>
            <w:r>
              <w:rPr>
                <w:kern w:val="0"/>
                <w:szCs w:val="21"/>
              </w:rPr>
              <w:t>进行规范处置</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r>
              <w:rPr>
                <w:rFonts w:hint="eastAsia"/>
                <w:kern w:val="0"/>
                <w:szCs w:val="21"/>
              </w:rPr>
              <w:t>；化学</w:t>
            </w:r>
            <w:r>
              <w:rPr>
                <w:kern w:val="0"/>
                <w:szCs w:val="21"/>
              </w:rPr>
              <w:t>废弃物</w:t>
            </w:r>
            <w:r>
              <w:rPr>
                <w:rFonts w:hint="eastAsia"/>
                <w:kern w:val="0"/>
                <w:szCs w:val="21"/>
              </w:rPr>
              <w:t>由具备相应</w:t>
            </w:r>
            <w:r>
              <w:rPr>
                <w:kern w:val="0"/>
                <w:szCs w:val="21"/>
              </w:rPr>
              <w:t>资质的单位（企业）签约处置</w:t>
            </w:r>
            <w:r>
              <w:rPr>
                <w:rFonts w:hint="eastAsia"/>
                <w:kern w:val="0"/>
                <w:szCs w:val="21"/>
              </w:rPr>
              <w:t>。</w:t>
            </w:r>
            <w:r>
              <w:rPr>
                <w:rFonts w:hint="eastAsia"/>
                <w:bCs/>
                <w:kern w:val="0"/>
                <w:szCs w:val="21"/>
              </w:rPr>
              <w:t>查看</w:t>
            </w:r>
            <w:r>
              <w:rPr>
                <w:bCs/>
                <w:kern w:val="0"/>
                <w:szCs w:val="21"/>
              </w:rPr>
              <w:t>委托合同及处置单位的资质</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8.</w:t>
            </w:r>
            <w:r>
              <w:rPr>
                <w:rFonts w:hint="eastAsia"/>
                <w:kern w:val="0"/>
                <w:szCs w:val="21"/>
              </w:rPr>
              <w:t>6</w:t>
            </w:r>
            <w:r>
              <w:rPr>
                <w:kern w:val="0"/>
                <w:szCs w:val="21"/>
              </w:rPr>
              <w:t>.2</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学校有统一的化学实验废弃物标签</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标签信息包括：</w:t>
            </w:r>
            <w:r>
              <w:rPr>
                <w:kern w:val="0"/>
                <w:szCs w:val="21"/>
              </w:rPr>
              <w:t>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8.</w:t>
            </w:r>
            <w:r>
              <w:rPr>
                <w:rFonts w:hint="eastAsia"/>
                <w:kern w:val="0"/>
                <w:szCs w:val="21"/>
              </w:rPr>
              <w:t>6</w:t>
            </w:r>
            <w:r>
              <w:rPr>
                <w:kern w:val="0"/>
                <w:szCs w:val="21"/>
              </w:rPr>
              <w:t>.3</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配备化学实验废弃物分类容器</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rPr>
              <w:t>公称容积的</w:t>
            </w:r>
            <w:r>
              <w:t>85%</w:t>
            </w:r>
            <w:r>
              <w:rPr>
                <w:rFonts w:hint="eastAsia"/>
                <w:bCs/>
                <w:kern w:val="0"/>
                <w:szCs w:val="21"/>
              </w:rPr>
              <w:t>；</w:t>
            </w:r>
            <w:r>
              <w:rPr>
                <w:rFonts w:hint="eastAsia"/>
                <w:kern w:val="0"/>
                <w:szCs w:val="21"/>
              </w:rPr>
              <w:t>对于</w:t>
            </w:r>
            <w:r>
              <w:rPr>
                <w:kern w:val="0"/>
                <w:szCs w:val="21"/>
              </w:rPr>
              <w:t>危险性大的废弃物，要独立包装，标签信息明确</w:t>
            </w:r>
            <w:r>
              <w:rPr>
                <w:rFonts w:hint="eastAsia"/>
                <w:kern w:val="0"/>
                <w:szCs w:val="21"/>
              </w:rPr>
              <w:t>；不能混合，尽量原瓶装，加贴废弃物标签</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013CA1" w:rsidRDefault="005014CC">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化学实验废弃物中转站</w:t>
            </w:r>
            <w:r>
              <w:rPr>
                <w:rFonts w:hint="eastAsia"/>
                <w:kern w:val="0"/>
                <w:szCs w:val="21"/>
              </w:rPr>
              <w:t>，对废弃物集中定点存放</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r>
              <w:rPr>
                <w:rFonts w:hint="eastAsia"/>
                <w:kern w:val="0"/>
                <w:szCs w:val="21"/>
              </w:rPr>
              <w:t>暂存库不能在</w:t>
            </w:r>
            <w:r>
              <w:rPr>
                <w:kern w:val="0"/>
                <w:szCs w:val="21"/>
              </w:rPr>
              <w:t>地下室空间</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b/>
                <w:kern w:val="0"/>
                <w:szCs w:val="21"/>
              </w:rPr>
              <w:t>其它化学安全</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试剂</w:t>
            </w:r>
            <w:r>
              <w:rPr>
                <w:kern w:val="0"/>
                <w:szCs w:val="21"/>
              </w:rPr>
              <w:t>需要张贴标签</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标签</w:t>
            </w:r>
            <w:r>
              <w:rPr>
                <w:kern w:val="0"/>
                <w:szCs w:val="21"/>
              </w:rPr>
              <w:t>信息包括名称、浓度、责任人、日期、储存条件等</w:t>
            </w: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r>
              <w:rPr>
                <w:rFonts w:hint="eastAsia"/>
                <w:kern w:val="0"/>
                <w:szCs w:val="21"/>
              </w:rPr>
              <w:t>；</w:t>
            </w:r>
            <w:r>
              <w:rPr>
                <w:kern w:val="0"/>
                <w:szCs w:val="21"/>
              </w:rPr>
              <w:t>无使用饮料瓶存放试剂、样品的现象</w:t>
            </w:r>
            <w:r>
              <w:rPr>
                <w:rFonts w:hint="eastAsia"/>
                <w:kern w:val="0"/>
                <w:szCs w:val="21"/>
              </w:rPr>
              <w:t>；</w:t>
            </w:r>
            <w:r>
              <w:rPr>
                <w:kern w:val="0"/>
                <w:szCs w:val="21"/>
              </w:rPr>
              <w:t>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不使用破损量筒、试管等玻璃器皿</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lastRenderedPageBreak/>
              <w:t>9</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生物安全</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b/>
                <w:kern w:val="0"/>
                <w:szCs w:val="21"/>
              </w:rPr>
              <w:t>实验室资质</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b/>
                <w:kern w:val="0"/>
                <w:szCs w:val="21"/>
              </w:rPr>
              <w:t>场所与设施</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储存病原微生物的场所或储柜配备防盗设施，并安装监控报警装置</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013CA1" w:rsidRDefault="005014CC">
            <w:pPr>
              <w:widowControl/>
              <w:spacing w:line="300" w:lineRule="exact"/>
              <w:jc w:val="left"/>
              <w:rPr>
                <w:b/>
                <w:bCs/>
                <w:kern w:val="0"/>
                <w:szCs w:val="21"/>
              </w:rPr>
            </w:pPr>
            <w:r>
              <w:rPr>
                <w:rFonts w:hint="eastAsia"/>
                <w:b/>
                <w:bCs/>
                <w:kern w:val="0"/>
                <w:szCs w:val="21"/>
              </w:rPr>
              <w:t>病原微生物采购与保管</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rsidR="00013CA1" w:rsidRDefault="005014CC">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人员</w:t>
            </w:r>
            <w:r>
              <w:rPr>
                <w:b/>
                <w:kern w:val="0"/>
                <w:szCs w:val="21"/>
              </w:rPr>
              <w:t>管理</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013CA1" w:rsidRDefault="005014CC">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lastRenderedPageBreak/>
              <w:t>9.4.3</w:t>
            </w:r>
          </w:p>
        </w:tc>
        <w:tc>
          <w:tcPr>
            <w:tcW w:w="3820" w:type="dxa"/>
            <w:tcMar>
              <w:left w:w="45" w:type="dxa"/>
              <w:right w:w="45" w:type="dxa"/>
            </w:tcMar>
            <w:vAlign w:val="center"/>
          </w:tcPr>
          <w:p w:rsidR="00013CA1" w:rsidRDefault="005014CC">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b/>
                <w:kern w:val="0"/>
                <w:szCs w:val="21"/>
              </w:rPr>
              <w:t>操作与管理</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kern w:val="0"/>
                <w:szCs w:val="21"/>
              </w:rPr>
              <w:t xml:space="preserve">BSL-2 </w:t>
            </w:r>
            <w:r>
              <w:rPr>
                <w:kern w:val="0"/>
                <w:szCs w:val="21"/>
              </w:rPr>
              <w:t>/ABSL-2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rsidR="00013CA1" w:rsidRDefault="005014CC">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禁止戴防护手套操作设施设备（包括仪器、冰箱、电脑、电话、开关、门窗</w:t>
            </w:r>
            <w:r>
              <w:rPr>
                <w:rFonts w:hint="eastAsia"/>
                <w:szCs w:val="21"/>
              </w:rPr>
              <w:t>、</w:t>
            </w:r>
            <w:r>
              <w:rPr>
                <w:szCs w:val="21"/>
              </w:rPr>
              <w:t>柜子抽屉等）</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实验</w:t>
            </w:r>
            <w:r>
              <w:rPr>
                <w:b/>
                <w:kern w:val="0"/>
                <w:szCs w:val="21"/>
              </w:rPr>
              <w:t>动物安全</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013CA1" w:rsidRDefault="005014CC">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b/>
                <w:kern w:val="0"/>
                <w:szCs w:val="21"/>
              </w:rPr>
              <w:t>生物实验废物处置</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生化废弃物的处置应有专用集中场所</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r>
              <w:rPr>
                <w:rFonts w:hint="eastAsia"/>
                <w:bCs/>
                <w:kern w:val="0"/>
                <w:szCs w:val="21"/>
              </w:rPr>
              <w:t>；</w:t>
            </w:r>
            <w:r>
              <w:rPr>
                <w:kern w:val="0"/>
                <w:szCs w:val="21"/>
              </w:rPr>
              <w:t>学校有生化固废中转站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生化废弃物的处置应满足特殊要求</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lastRenderedPageBreak/>
              <w:t>10</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b/>
                <w:kern w:val="0"/>
                <w:szCs w:val="21"/>
              </w:rPr>
              <w:t>辐射安全</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b/>
                <w:kern w:val="0"/>
                <w:szCs w:val="21"/>
              </w:rPr>
              <w:t>实验室资质与人员要求</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10.1.1</w:t>
            </w:r>
          </w:p>
        </w:tc>
        <w:tc>
          <w:tcPr>
            <w:tcW w:w="3820" w:type="dxa"/>
            <w:tcMar>
              <w:left w:w="45" w:type="dxa"/>
              <w:right w:w="45" w:type="dxa"/>
            </w:tcMar>
            <w:vAlign w:val="center"/>
          </w:tcPr>
          <w:p w:rsidR="00013CA1" w:rsidRDefault="005014CC">
            <w:pPr>
              <w:widowControl/>
              <w:spacing w:line="300" w:lineRule="exact"/>
              <w:rPr>
                <w:b/>
                <w:kern w:val="0"/>
                <w:szCs w:val="21"/>
              </w:rPr>
            </w:pPr>
            <w:r>
              <w:rPr>
                <w:rFonts w:hint="eastAsia"/>
                <w:szCs w:val="21"/>
              </w:rPr>
              <w:t>涉源</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渉源人员具</w:t>
            </w:r>
            <w:r>
              <w:rPr>
                <w:kern w:val="0"/>
                <w:szCs w:val="21"/>
              </w:rPr>
              <w:t>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b/>
                <w:kern w:val="0"/>
                <w:szCs w:val="21"/>
              </w:rPr>
              <w:t>场所设施</w:t>
            </w:r>
            <w:r>
              <w:rPr>
                <w:rFonts w:hint="eastAsia"/>
                <w:b/>
                <w:kern w:val="0"/>
                <w:szCs w:val="21"/>
              </w:rPr>
              <w:t>与采购运输</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kern w:val="0"/>
                <w:szCs w:val="21"/>
              </w:rPr>
              <w:t>放射源储存库</w:t>
            </w:r>
            <w:r>
              <w:rPr>
                <w:rFonts w:hint="eastAsia"/>
                <w:kern w:val="0"/>
                <w:szCs w:val="21"/>
              </w:rPr>
              <w:t>应设</w:t>
            </w:r>
            <w:r>
              <w:rPr>
                <w:kern w:val="0"/>
                <w:szCs w:val="21"/>
              </w:rPr>
              <w:t>双门双控，并有安全报警系统（与公安部门联网）和视频监控系统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10.2.</w:t>
            </w:r>
            <w:r>
              <w:rPr>
                <w:rFonts w:hint="eastAsia"/>
                <w:kern w:val="0"/>
                <w:szCs w:val="21"/>
              </w:rPr>
              <w:t>3</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学校设</w:t>
            </w:r>
            <w:r>
              <w:rPr>
                <w:kern w:val="0"/>
                <w:szCs w:val="21"/>
              </w:rPr>
              <w:t>有专门存放放射性废弃物的容器和</w:t>
            </w:r>
            <w:r>
              <w:rPr>
                <w:rFonts w:hint="eastAsia"/>
                <w:kern w:val="0"/>
                <w:szCs w:val="21"/>
              </w:rPr>
              <w:t>暂存库</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kern w:val="0"/>
                <w:szCs w:val="21"/>
              </w:rPr>
              <w:t>非密封性放射性实验室有衰减池，</w:t>
            </w:r>
            <w:r>
              <w:rPr>
                <w:szCs w:val="21"/>
              </w:rPr>
              <w:t>或者有非密封性专门回收处置场所</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10.2.4</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013CA1" w:rsidRDefault="005014CC">
            <w:pPr>
              <w:widowControl/>
              <w:spacing w:line="300" w:lineRule="exact"/>
              <w:jc w:val="left"/>
              <w:rPr>
                <w:kern w:val="0"/>
                <w:szCs w:val="21"/>
              </w:rPr>
            </w:pPr>
            <w:r>
              <w:rPr>
                <w:kern w:val="0"/>
                <w:szCs w:val="21"/>
              </w:rPr>
              <w:t>中、长半衰期核素固液废弃物有符合国家相关规定的处置方案或回收协议，短半衰期核素固液废弃物放置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w:t>
            </w:r>
            <w:r>
              <w:rPr>
                <w:kern w:val="0"/>
                <w:szCs w:val="21"/>
              </w:rPr>
              <w:lastRenderedPageBreak/>
              <w:t>须按国家相关规定</w:t>
            </w:r>
            <w:r>
              <w:rPr>
                <w:rFonts w:hint="eastAsia"/>
                <w:kern w:val="0"/>
                <w:szCs w:val="21"/>
              </w:rPr>
              <w:t>执行</w:t>
            </w:r>
          </w:p>
        </w:tc>
        <w:tc>
          <w:tcPr>
            <w:tcW w:w="2829" w:type="dxa"/>
            <w:tcMar>
              <w:left w:w="45" w:type="dxa"/>
              <w:right w:w="45" w:type="dxa"/>
            </w:tcMar>
            <w:vAlign w:val="center"/>
          </w:tcPr>
          <w:p w:rsidR="00013CA1" w:rsidRDefault="00013CA1">
            <w:pPr>
              <w:widowControl/>
              <w:spacing w:line="300" w:lineRule="exact"/>
              <w:jc w:val="left"/>
              <w:rPr>
                <w:bCs/>
                <w:kern w:val="0"/>
                <w:szCs w:val="21"/>
              </w:rPr>
            </w:pPr>
            <w:bookmarkStart w:id="0" w:name="_GoBack"/>
            <w:bookmarkEnd w:id="0"/>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lastRenderedPageBreak/>
              <w:t>11</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机电等</w:t>
            </w:r>
            <w:r>
              <w:rPr>
                <w:b/>
                <w:kern w:val="0"/>
                <w:szCs w:val="21"/>
              </w:rPr>
              <w:t>安全</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仪器设备</w:t>
            </w:r>
            <w:r>
              <w:rPr>
                <w:b/>
                <w:kern w:val="0"/>
                <w:szCs w:val="21"/>
              </w:rPr>
              <w:t>常规管理</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建立设备台帐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013CA1" w:rsidRDefault="005014CC">
            <w:pPr>
              <w:widowControl/>
              <w:spacing w:line="300" w:lineRule="exact"/>
              <w:jc w:val="left"/>
              <w:rPr>
                <w:b/>
                <w:bCs/>
                <w:kern w:val="0"/>
                <w:szCs w:val="21"/>
              </w:rPr>
            </w:pPr>
            <w:r>
              <w:rPr>
                <w:rFonts w:hint="eastAsia"/>
                <w:kern w:val="0"/>
                <w:szCs w:val="21"/>
              </w:rPr>
              <w:t>查看电子或纸质台帐</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013CA1" w:rsidRDefault="005014CC">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欧；电脑、空调、电加热器、饮水机等不随意开机过夜；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013CA1" w:rsidRDefault="005014CC">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013CA1" w:rsidRDefault="005014CC">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进入高速切削机械操作工作场所，穿好工作服，戴好防护眼镜，扣紧衣袖口，长发学生戴好工作帽，禁止戴手套、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等配饰物，禁穿拖鞋、高跟鞋等；设备运转时严禁用手调整工件；个人</w:t>
            </w:r>
            <w:r>
              <w:rPr>
                <w:kern w:val="0"/>
                <w:szCs w:val="21"/>
              </w:rPr>
              <w:t>防护用品要穿戴齐全，如工作服、</w:t>
            </w:r>
            <w:r>
              <w:rPr>
                <w:rFonts w:hint="eastAsia"/>
                <w:kern w:val="0"/>
                <w:szCs w:val="21"/>
              </w:rPr>
              <w:t>工作帽</w:t>
            </w:r>
            <w:r>
              <w:rPr>
                <w:kern w:val="0"/>
                <w:szCs w:val="21"/>
              </w:rPr>
              <w:t>、工作鞋、防护眼镜等</w:t>
            </w:r>
            <w:r>
              <w:rPr>
                <w:rFonts w:hint="eastAsia"/>
                <w:kern w:val="0"/>
                <w:szCs w:val="21"/>
              </w:rPr>
              <w:t>；</w:t>
            </w:r>
            <w:r>
              <w:rPr>
                <w:kern w:val="0"/>
                <w:szCs w:val="21"/>
              </w:rPr>
              <w:t>操作</w:t>
            </w:r>
            <w:r>
              <w:rPr>
                <w:rFonts w:hint="eastAsia"/>
                <w:kern w:val="0"/>
                <w:szCs w:val="21"/>
              </w:rPr>
              <w:t>冷加工</w:t>
            </w:r>
            <w:r>
              <w:rPr>
                <w:kern w:val="0"/>
                <w:szCs w:val="21"/>
              </w:rPr>
              <w:t>设备必须穿</w:t>
            </w:r>
            <w:r>
              <w:rPr>
                <w:kern w:val="0"/>
                <w:szCs w:val="21"/>
              </w:rPr>
              <w:t>“</w:t>
            </w:r>
            <w:r>
              <w:rPr>
                <w:rFonts w:hint="eastAsia"/>
                <w:kern w:val="0"/>
                <w:szCs w:val="21"/>
              </w:rPr>
              <w:t>三紧式</w:t>
            </w:r>
            <w:r>
              <w:rPr>
                <w:kern w:val="0"/>
                <w:szCs w:val="21"/>
              </w:rPr>
              <w:t>”</w:t>
            </w:r>
            <w:r>
              <w:rPr>
                <w:rFonts w:hint="eastAsia"/>
                <w:kern w:val="0"/>
                <w:szCs w:val="21"/>
              </w:rPr>
              <w:t>工作服</w:t>
            </w:r>
            <w:r>
              <w:rPr>
                <w:kern w:val="0"/>
                <w:szCs w:val="21"/>
              </w:rPr>
              <w:t>，不能留长发（</w:t>
            </w:r>
            <w:r>
              <w:rPr>
                <w:rFonts w:hint="eastAsia"/>
                <w:kern w:val="0"/>
                <w:szCs w:val="21"/>
              </w:rPr>
              <w:t>长发</w:t>
            </w:r>
            <w:r>
              <w:rPr>
                <w:kern w:val="0"/>
                <w:szCs w:val="21"/>
              </w:rPr>
              <w:t>要盘在工作帽内）</w:t>
            </w:r>
            <w:r>
              <w:rPr>
                <w:rFonts w:hint="eastAsia"/>
                <w:kern w:val="0"/>
                <w:szCs w:val="21"/>
              </w:rPr>
              <w:t>，</w:t>
            </w:r>
            <w:r>
              <w:rPr>
                <w:kern w:val="0"/>
                <w:szCs w:val="21"/>
              </w:rPr>
              <w:t>禁止戴手套</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013CA1" w:rsidRDefault="005014CC">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013CA1" w:rsidRDefault="005014CC">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w:t>
            </w:r>
            <w:r>
              <w:rPr>
                <w:rFonts w:hint="eastAsia"/>
                <w:kern w:val="0"/>
                <w:szCs w:val="21"/>
              </w:rPr>
              <w:t>炸崩烫伤；淬火油槽不得有水，油量不能过少，以免发生火灾；与铁水接触的一切工具，使用前必须加热，严禁将冷的工具伸入铁水内，以免引起爆炸；锻压设备不得空打或大力敲打过薄锻件，锻造时锻件应达到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w:t>
            </w:r>
            <w:r>
              <w:rPr>
                <w:rFonts w:hint="eastAsia"/>
                <w:kern w:val="0"/>
                <w:szCs w:val="21"/>
              </w:rPr>
              <w:lastRenderedPageBreak/>
              <w:t>块</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spacing w:line="300" w:lineRule="exact"/>
              <w:rPr>
                <w:szCs w:val="21"/>
              </w:rPr>
            </w:pPr>
            <w:r>
              <w:rPr>
                <w:rFonts w:hint="eastAsia"/>
                <w:kern w:val="0"/>
                <w:szCs w:val="21"/>
              </w:rPr>
              <w:lastRenderedPageBreak/>
              <w:t>11.2.4</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013CA1" w:rsidRDefault="005014CC">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；禁止在充满可燃气体的环境中使用电动工具；电烙铁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强电类实验必须二人以上，操作时应戴绝缘手套；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013CA1" w:rsidRDefault="005014CC">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013CA1" w:rsidRDefault="005014CC">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013CA1" w:rsidRDefault="005014CC">
            <w:pPr>
              <w:widowControl/>
              <w:spacing w:line="300" w:lineRule="exact"/>
              <w:jc w:val="left"/>
              <w:rPr>
                <w:bCs/>
                <w:kern w:val="0"/>
                <w:szCs w:val="21"/>
              </w:rPr>
            </w:pPr>
            <w:r>
              <w:rPr>
                <w:bCs/>
                <w:kern w:val="0"/>
                <w:szCs w:val="21"/>
              </w:rPr>
              <w:t>警告标志</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bCs/>
                <w:kern w:val="0"/>
                <w:szCs w:val="21"/>
              </w:rPr>
              <w:t>所有</w:t>
            </w:r>
            <w:r>
              <w:rPr>
                <w:bCs/>
                <w:kern w:val="0"/>
                <w:szCs w:val="21"/>
              </w:rPr>
              <w:t>激光区域内张贴警告标志</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013CA1" w:rsidRDefault="005014CC">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大量粉状物质的储存与使用场所，应选用防爆型的电气设备</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粉尘场所应穿防静电棉质衣服，禁止穿化纤材料制作的衣服，工作时必须佩戴防尘口罩和护耳器</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lastRenderedPageBreak/>
              <w:t>11.5.3</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rsidR="00013CA1" w:rsidRDefault="00013CA1">
            <w:pPr>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起重类</w:t>
            </w:r>
            <w:r>
              <w:rPr>
                <w:b/>
                <w:kern w:val="0"/>
                <w:szCs w:val="21"/>
              </w:rPr>
              <w:t>设备</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起重机械</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操作人员须取得《特种设备作业人员证》，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013CA1" w:rsidRDefault="005014CC">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p>
        </w:tc>
        <w:tc>
          <w:tcPr>
            <w:tcW w:w="2829" w:type="dxa"/>
            <w:tcMar>
              <w:left w:w="45" w:type="dxa"/>
              <w:right w:w="45" w:type="dxa"/>
            </w:tcMar>
            <w:vAlign w:val="center"/>
          </w:tcPr>
          <w:p w:rsidR="00013CA1" w:rsidRDefault="00013CA1">
            <w:pPr>
              <w:widowControl/>
              <w:spacing w:line="300" w:lineRule="exact"/>
              <w:jc w:val="center"/>
              <w:rPr>
                <w:b/>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压力容器</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取得《特种设备使用登记证》和《压力容器登记卡》</w:t>
            </w:r>
          </w:p>
        </w:tc>
        <w:tc>
          <w:tcPr>
            <w:tcW w:w="7374"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w:t>
            </w:r>
            <w:r>
              <w:rPr>
                <w:rFonts w:hint="eastAsia"/>
                <w:kern w:val="0"/>
                <w:szCs w:val="21"/>
              </w:rPr>
              <w:t>兆帕且</w:t>
            </w:r>
            <w:r>
              <w:rPr>
                <w:kern w:val="0"/>
                <w:szCs w:val="21"/>
              </w:rPr>
              <w:t>容积大于</w:t>
            </w:r>
            <w:r>
              <w:rPr>
                <w:rFonts w:hint="eastAsia"/>
                <w:kern w:val="0"/>
                <w:szCs w:val="21"/>
              </w:rPr>
              <w:t>30</w:t>
            </w:r>
            <w:r>
              <w:rPr>
                <w:rFonts w:hint="eastAsia"/>
                <w:kern w:val="0"/>
                <w:szCs w:val="21"/>
              </w:rPr>
              <w:t>公升的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取得《特种设备使用登记证》和《压力容器登记卡》；设备铭牌上标明为简单压力容器不需办理</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压力容器</w:t>
            </w:r>
            <w:r>
              <w:rPr>
                <w:kern w:val="0"/>
                <w:szCs w:val="21"/>
              </w:rPr>
              <w:t>操作人员</w:t>
            </w:r>
            <w:r>
              <w:rPr>
                <w:rFonts w:hint="eastAsia"/>
                <w:kern w:val="0"/>
                <w:szCs w:val="21"/>
              </w:rPr>
              <w:t>、检验单位须有相关资质</w:t>
            </w:r>
          </w:p>
        </w:tc>
        <w:tc>
          <w:tcPr>
            <w:tcW w:w="7374" w:type="dxa"/>
            <w:tcMar>
              <w:left w:w="45" w:type="dxa"/>
              <w:right w:w="45" w:type="dxa"/>
            </w:tcMar>
            <w:vAlign w:val="center"/>
          </w:tcPr>
          <w:p w:rsidR="00013CA1" w:rsidRDefault="005014CC">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013CA1" w:rsidRDefault="005014CC">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rsidR="00013CA1" w:rsidRDefault="005014CC">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013CA1" w:rsidRDefault="005014CC">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大型实验气体罐外表涂色、腐蚀、变形、磨损、裂纹，附件是否齐全、完好</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场（厂）内专用机动车辆</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013CA1" w:rsidRDefault="00013CA1">
            <w:pPr>
              <w:widowControl/>
              <w:spacing w:line="300" w:lineRule="exact"/>
              <w:jc w:val="left"/>
              <w:rPr>
                <w:kern w:val="0"/>
                <w:szCs w:val="21"/>
              </w:rPr>
            </w:pPr>
          </w:p>
        </w:tc>
        <w:tc>
          <w:tcPr>
            <w:tcW w:w="2829" w:type="dxa"/>
            <w:tcMar>
              <w:left w:w="45" w:type="dxa"/>
              <w:right w:w="45" w:type="dxa"/>
            </w:tcMar>
            <w:vAlign w:val="center"/>
          </w:tcPr>
          <w:p w:rsidR="00013CA1" w:rsidRDefault="00013CA1">
            <w:pPr>
              <w:widowControl/>
              <w:spacing w:line="300" w:lineRule="exact"/>
              <w:jc w:val="center"/>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lastRenderedPageBreak/>
              <w:t>12.3</w:t>
            </w:r>
            <w:r>
              <w:rPr>
                <w:kern w:val="0"/>
                <w:szCs w:val="21"/>
              </w:rPr>
              <w:t>.2</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013CA1" w:rsidRDefault="005014CC">
            <w:pPr>
              <w:widowControl/>
              <w:spacing w:line="300" w:lineRule="exact"/>
              <w:jc w:val="left"/>
              <w:rPr>
                <w:b/>
                <w:bCs/>
                <w:kern w:val="0"/>
                <w:szCs w:val="21"/>
              </w:rPr>
            </w:pPr>
            <w:r>
              <w:rPr>
                <w:rFonts w:hint="eastAsia"/>
                <w:kern w:val="0"/>
                <w:szCs w:val="21"/>
              </w:rPr>
              <w:t>证书在有效期内</w:t>
            </w:r>
          </w:p>
        </w:tc>
        <w:tc>
          <w:tcPr>
            <w:tcW w:w="2829" w:type="dxa"/>
            <w:tcMar>
              <w:left w:w="45" w:type="dxa"/>
              <w:right w:w="45" w:type="dxa"/>
            </w:tcMar>
            <w:vAlign w:val="center"/>
          </w:tcPr>
          <w:p w:rsidR="00013CA1" w:rsidRDefault="00013CA1">
            <w:pPr>
              <w:widowControl/>
              <w:spacing w:line="300" w:lineRule="exact"/>
              <w:jc w:val="center"/>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013CA1" w:rsidRDefault="00013CA1">
            <w:pPr>
              <w:widowControl/>
              <w:spacing w:line="300" w:lineRule="exact"/>
              <w:jc w:val="center"/>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013CA1" w:rsidRDefault="005014CC">
            <w:pPr>
              <w:widowControl/>
              <w:spacing w:line="300" w:lineRule="exact"/>
              <w:jc w:val="left"/>
              <w:rPr>
                <w:b/>
                <w:kern w:val="0"/>
                <w:szCs w:val="21"/>
              </w:rPr>
            </w:pPr>
            <w:r>
              <w:rPr>
                <w:rFonts w:hint="eastAsia"/>
                <w:b/>
                <w:kern w:val="0"/>
                <w:szCs w:val="21"/>
              </w:rPr>
              <w:t>加热及制冷装置</w:t>
            </w:r>
            <w:r>
              <w:rPr>
                <w:b/>
                <w:kern w:val="0"/>
                <w:szCs w:val="21"/>
              </w:rPr>
              <w:t>管理</w:t>
            </w: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013CA1" w:rsidRDefault="005014CC">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为防爆冰箱或经过防爆改造的冰箱，冰箱门上应注明</w:t>
            </w:r>
            <w:r>
              <w:rPr>
                <w:rFonts w:hint="eastAsia"/>
                <w:kern w:val="0"/>
                <w:szCs w:val="21"/>
              </w:rPr>
              <w:t>是否</w:t>
            </w:r>
            <w:r>
              <w:rPr>
                <w:kern w:val="0"/>
                <w:szCs w:val="21"/>
              </w:rPr>
              <w:t>为防爆冰箱</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实验室冰箱中不放置食品</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013CA1" w:rsidRDefault="005014CC">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r>
              <w:rPr>
                <w:rFonts w:hint="eastAsia"/>
                <w:kern w:val="0"/>
                <w:szCs w:val="21"/>
              </w:rPr>
              <w:t>；</w:t>
            </w: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013CA1" w:rsidRDefault="00013CA1">
            <w:pPr>
              <w:widowControl/>
              <w:spacing w:line="300" w:lineRule="exact"/>
              <w:jc w:val="left"/>
              <w:rPr>
                <w:bCs/>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013CA1" w:rsidRDefault="005014CC">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2829" w:type="dxa"/>
            <w:tcMar>
              <w:left w:w="45" w:type="dxa"/>
              <w:right w:w="45" w:type="dxa"/>
            </w:tcMar>
            <w:vAlign w:val="center"/>
          </w:tcPr>
          <w:p w:rsidR="00013CA1" w:rsidRDefault="00013CA1">
            <w:pPr>
              <w:widowControl/>
              <w:spacing w:line="300" w:lineRule="exact"/>
              <w:jc w:val="left"/>
              <w:rPr>
                <w:kern w:val="0"/>
                <w:szCs w:val="21"/>
              </w:rPr>
            </w:pPr>
          </w:p>
        </w:tc>
      </w:tr>
      <w:tr w:rsidR="00013CA1">
        <w:trPr>
          <w:trHeight w:val="369"/>
          <w:jc w:val="center"/>
        </w:trPr>
        <w:tc>
          <w:tcPr>
            <w:tcW w:w="848"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013CA1" w:rsidRDefault="005014CC">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013CA1" w:rsidRDefault="005014CC">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明火电炉、电吹风、电热枪等用毕，及时拔除电源插头</w:t>
            </w:r>
            <w:r>
              <w:rPr>
                <w:rFonts w:hint="eastAsia"/>
                <w:kern w:val="0"/>
                <w:szCs w:val="21"/>
              </w:rPr>
              <w:t>；不能用纸质、木质等材料自制红外灯烘箱</w:t>
            </w:r>
          </w:p>
        </w:tc>
        <w:tc>
          <w:tcPr>
            <w:tcW w:w="2829" w:type="dxa"/>
            <w:tcMar>
              <w:left w:w="45" w:type="dxa"/>
              <w:right w:w="45" w:type="dxa"/>
            </w:tcMar>
            <w:vAlign w:val="center"/>
          </w:tcPr>
          <w:p w:rsidR="00013CA1" w:rsidRDefault="00013CA1">
            <w:pPr>
              <w:widowControl/>
              <w:spacing w:line="300" w:lineRule="exact"/>
              <w:jc w:val="left"/>
              <w:rPr>
                <w:kern w:val="0"/>
                <w:szCs w:val="21"/>
              </w:rPr>
            </w:pPr>
          </w:p>
        </w:tc>
      </w:tr>
    </w:tbl>
    <w:p w:rsidR="00013CA1" w:rsidRDefault="00013CA1" w:rsidP="00410107">
      <w:pPr>
        <w:adjustRightInd w:val="0"/>
        <w:snapToGrid w:val="0"/>
        <w:spacing w:beforeLines="50"/>
        <w:jc w:val="left"/>
      </w:pPr>
    </w:p>
    <w:sectPr w:rsidR="00013CA1" w:rsidSect="00013CA1">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4CC" w:rsidRDefault="005014CC" w:rsidP="00013CA1">
      <w:r>
        <w:separator/>
      </w:r>
    </w:p>
  </w:endnote>
  <w:endnote w:type="continuationSeparator" w:id="1">
    <w:p w:rsidR="005014CC" w:rsidRDefault="005014CC" w:rsidP="00013C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文鼎大标宋简">
    <w:altName w:val="宋体"/>
    <w:charset w:val="86"/>
    <w:family w:val="roma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CA1" w:rsidRDefault="00013CA1">
    <w:pPr>
      <w:pStyle w:val="ab"/>
      <w:jc w:val="center"/>
    </w:pPr>
    <w:r>
      <w:fldChar w:fldCharType="begin"/>
    </w:r>
    <w:r w:rsidR="005014CC">
      <w:instrText>PAGE   \* MERGEFORMAT</w:instrText>
    </w:r>
    <w:r>
      <w:fldChar w:fldCharType="separate"/>
    </w:r>
    <w:r w:rsidR="00410107" w:rsidRPr="00410107">
      <w:rPr>
        <w:noProof/>
        <w:lang w:val="zh-CN"/>
      </w:rPr>
      <w:t>17</w:t>
    </w:r>
    <w:r>
      <w:fldChar w:fldCharType="end"/>
    </w:r>
  </w:p>
  <w:p w:rsidR="00013CA1" w:rsidRDefault="00013CA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4CC" w:rsidRDefault="005014CC" w:rsidP="00013CA1">
      <w:r>
        <w:separator/>
      </w:r>
    </w:p>
  </w:footnote>
  <w:footnote w:type="continuationSeparator" w:id="1">
    <w:p w:rsidR="005014CC" w:rsidRDefault="005014CC" w:rsidP="00013C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3CA1"/>
    <w:rsid w:val="00014177"/>
    <w:rsid w:val="00016CC4"/>
    <w:rsid w:val="00017B97"/>
    <w:rsid w:val="00020325"/>
    <w:rsid w:val="00021729"/>
    <w:rsid w:val="00025D3E"/>
    <w:rsid w:val="00027CE8"/>
    <w:rsid w:val="00032348"/>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3C6B"/>
    <w:rsid w:val="00114A79"/>
    <w:rsid w:val="00117113"/>
    <w:rsid w:val="00117E7E"/>
    <w:rsid w:val="00120B03"/>
    <w:rsid w:val="00120EFB"/>
    <w:rsid w:val="0012236F"/>
    <w:rsid w:val="00122754"/>
    <w:rsid w:val="00122820"/>
    <w:rsid w:val="0012298A"/>
    <w:rsid w:val="00123622"/>
    <w:rsid w:val="00125C51"/>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EDD"/>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1A97"/>
    <w:rsid w:val="00242483"/>
    <w:rsid w:val="00242B32"/>
    <w:rsid w:val="00251B41"/>
    <w:rsid w:val="002542FD"/>
    <w:rsid w:val="00255C8C"/>
    <w:rsid w:val="00255D52"/>
    <w:rsid w:val="00260336"/>
    <w:rsid w:val="00260852"/>
    <w:rsid w:val="00261941"/>
    <w:rsid w:val="00262577"/>
    <w:rsid w:val="00263347"/>
    <w:rsid w:val="00266A2B"/>
    <w:rsid w:val="002709C1"/>
    <w:rsid w:val="002717FD"/>
    <w:rsid w:val="00271D7A"/>
    <w:rsid w:val="002722D6"/>
    <w:rsid w:val="00275E3C"/>
    <w:rsid w:val="00276BD3"/>
    <w:rsid w:val="00276E06"/>
    <w:rsid w:val="00277FBA"/>
    <w:rsid w:val="00281C08"/>
    <w:rsid w:val="0028289C"/>
    <w:rsid w:val="00282D6E"/>
    <w:rsid w:val="00283339"/>
    <w:rsid w:val="0028528B"/>
    <w:rsid w:val="00285831"/>
    <w:rsid w:val="00290798"/>
    <w:rsid w:val="002914AD"/>
    <w:rsid w:val="00291F5A"/>
    <w:rsid w:val="00297386"/>
    <w:rsid w:val="002A0679"/>
    <w:rsid w:val="002A2A2E"/>
    <w:rsid w:val="002A35AC"/>
    <w:rsid w:val="002A6CBD"/>
    <w:rsid w:val="002A79BC"/>
    <w:rsid w:val="002B3ACD"/>
    <w:rsid w:val="002B60D7"/>
    <w:rsid w:val="002C0048"/>
    <w:rsid w:val="002C13EF"/>
    <w:rsid w:val="002C17E5"/>
    <w:rsid w:val="002C1E7F"/>
    <w:rsid w:val="002C350E"/>
    <w:rsid w:val="002C3C60"/>
    <w:rsid w:val="002C3D44"/>
    <w:rsid w:val="002C3FB7"/>
    <w:rsid w:val="002C4529"/>
    <w:rsid w:val="002C586F"/>
    <w:rsid w:val="002C6B5B"/>
    <w:rsid w:val="002D2063"/>
    <w:rsid w:val="002D20B1"/>
    <w:rsid w:val="002D216D"/>
    <w:rsid w:val="002D22B6"/>
    <w:rsid w:val="002D2C5E"/>
    <w:rsid w:val="002D38F5"/>
    <w:rsid w:val="002D5074"/>
    <w:rsid w:val="002D76D9"/>
    <w:rsid w:val="002E00FB"/>
    <w:rsid w:val="002E2D3E"/>
    <w:rsid w:val="002E3485"/>
    <w:rsid w:val="002E3E8F"/>
    <w:rsid w:val="002E4C01"/>
    <w:rsid w:val="002E55BE"/>
    <w:rsid w:val="002F09FF"/>
    <w:rsid w:val="002F1086"/>
    <w:rsid w:val="002F2441"/>
    <w:rsid w:val="002F2870"/>
    <w:rsid w:val="002F332F"/>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2021"/>
    <w:rsid w:val="00384F21"/>
    <w:rsid w:val="00387213"/>
    <w:rsid w:val="00387D20"/>
    <w:rsid w:val="003910BA"/>
    <w:rsid w:val="00391CDC"/>
    <w:rsid w:val="003928D6"/>
    <w:rsid w:val="0039330B"/>
    <w:rsid w:val="00394BF6"/>
    <w:rsid w:val="003968EA"/>
    <w:rsid w:val="003979AA"/>
    <w:rsid w:val="003A108E"/>
    <w:rsid w:val="003A1BC1"/>
    <w:rsid w:val="003A30A2"/>
    <w:rsid w:val="003A363C"/>
    <w:rsid w:val="003A4EDD"/>
    <w:rsid w:val="003A6E6B"/>
    <w:rsid w:val="003A7E61"/>
    <w:rsid w:val="003B1481"/>
    <w:rsid w:val="003B319C"/>
    <w:rsid w:val="003B6FBC"/>
    <w:rsid w:val="003C039B"/>
    <w:rsid w:val="003C22F8"/>
    <w:rsid w:val="003C2A42"/>
    <w:rsid w:val="003C44F0"/>
    <w:rsid w:val="003C6ABB"/>
    <w:rsid w:val="003C7F9A"/>
    <w:rsid w:val="003D175F"/>
    <w:rsid w:val="003D3C99"/>
    <w:rsid w:val="003D43C4"/>
    <w:rsid w:val="003D6177"/>
    <w:rsid w:val="003E6F3F"/>
    <w:rsid w:val="003E78ED"/>
    <w:rsid w:val="003F2694"/>
    <w:rsid w:val="003F3BD2"/>
    <w:rsid w:val="003F3C46"/>
    <w:rsid w:val="003F4D88"/>
    <w:rsid w:val="003F5BA3"/>
    <w:rsid w:val="003F74C2"/>
    <w:rsid w:val="00402052"/>
    <w:rsid w:val="00405994"/>
    <w:rsid w:val="004067F5"/>
    <w:rsid w:val="004069ED"/>
    <w:rsid w:val="004072B6"/>
    <w:rsid w:val="00407B11"/>
    <w:rsid w:val="00410107"/>
    <w:rsid w:val="00410409"/>
    <w:rsid w:val="00410D5F"/>
    <w:rsid w:val="00411B39"/>
    <w:rsid w:val="00411FB9"/>
    <w:rsid w:val="004130BD"/>
    <w:rsid w:val="00414256"/>
    <w:rsid w:val="00414E69"/>
    <w:rsid w:val="004153D4"/>
    <w:rsid w:val="00415984"/>
    <w:rsid w:val="004203B0"/>
    <w:rsid w:val="00420F30"/>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35DF"/>
    <w:rsid w:val="0047428E"/>
    <w:rsid w:val="0047457E"/>
    <w:rsid w:val="004753DB"/>
    <w:rsid w:val="00475423"/>
    <w:rsid w:val="004805DC"/>
    <w:rsid w:val="00481550"/>
    <w:rsid w:val="00482197"/>
    <w:rsid w:val="004826F7"/>
    <w:rsid w:val="00482F12"/>
    <w:rsid w:val="00486088"/>
    <w:rsid w:val="00486E81"/>
    <w:rsid w:val="004927BE"/>
    <w:rsid w:val="00494721"/>
    <w:rsid w:val="0049526A"/>
    <w:rsid w:val="00495560"/>
    <w:rsid w:val="00496A2B"/>
    <w:rsid w:val="0049748F"/>
    <w:rsid w:val="004A0637"/>
    <w:rsid w:val="004A064E"/>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BA"/>
    <w:rsid w:val="004E052F"/>
    <w:rsid w:val="004E140E"/>
    <w:rsid w:val="004E1721"/>
    <w:rsid w:val="004E53B0"/>
    <w:rsid w:val="004E5633"/>
    <w:rsid w:val="004E60DC"/>
    <w:rsid w:val="004F26D2"/>
    <w:rsid w:val="004F2A3D"/>
    <w:rsid w:val="004F54DE"/>
    <w:rsid w:val="004F5542"/>
    <w:rsid w:val="004F6182"/>
    <w:rsid w:val="004F62B5"/>
    <w:rsid w:val="004F64EF"/>
    <w:rsid w:val="005013CA"/>
    <w:rsid w:val="005014CC"/>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96F"/>
    <w:rsid w:val="00531CAB"/>
    <w:rsid w:val="00533876"/>
    <w:rsid w:val="00534EB8"/>
    <w:rsid w:val="005361DE"/>
    <w:rsid w:val="00537B59"/>
    <w:rsid w:val="00537B6E"/>
    <w:rsid w:val="00540C78"/>
    <w:rsid w:val="0054230F"/>
    <w:rsid w:val="00543880"/>
    <w:rsid w:val="005441D1"/>
    <w:rsid w:val="005442EB"/>
    <w:rsid w:val="00544BFC"/>
    <w:rsid w:val="0054527C"/>
    <w:rsid w:val="0054610B"/>
    <w:rsid w:val="005461A7"/>
    <w:rsid w:val="00546640"/>
    <w:rsid w:val="00547028"/>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7230"/>
    <w:rsid w:val="00577DFD"/>
    <w:rsid w:val="00581600"/>
    <w:rsid w:val="0058248B"/>
    <w:rsid w:val="00583D75"/>
    <w:rsid w:val="0058405E"/>
    <w:rsid w:val="00584886"/>
    <w:rsid w:val="0058656F"/>
    <w:rsid w:val="0059221F"/>
    <w:rsid w:val="00592A21"/>
    <w:rsid w:val="00596975"/>
    <w:rsid w:val="0059799E"/>
    <w:rsid w:val="00597C01"/>
    <w:rsid w:val="005A0E14"/>
    <w:rsid w:val="005A1751"/>
    <w:rsid w:val="005A1B98"/>
    <w:rsid w:val="005A29E8"/>
    <w:rsid w:val="005A50C3"/>
    <w:rsid w:val="005A5863"/>
    <w:rsid w:val="005A5FE9"/>
    <w:rsid w:val="005A6550"/>
    <w:rsid w:val="005A6D62"/>
    <w:rsid w:val="005A78E8"/>
    <w:rsid w:val="005B18DE"/>
    <w:rsid w:val="005B4A77"/>
    <w:rsid w:val="005B4DD4"/>
    <w:rsid w:val="005B4F7D"/>
    <w:rsid w:val="005B6D7D"/>
    <w:rsid w:val="005C069D"/>
    <w:rsid w:val="005C1A32"/>
    <w:rsid w:val="005C1C28"/>
    <w:rsid w:val="005C263D"/>
    <w:rsid w:val="005C3945"/>
    <w:rsid w:val="005C505C"/>
    <w:rsid w:val="005C79FC"/>
    <w:rsid w:val="005D3A48"/>
    <w:rsid w:val="005D3E53"/>
    <w:rsid w:val="005D47BC"/>
    <w:rsid w:val="005D70A6"/>
    <w:rsid w:val="005E4161"/>
    <w:rsid w:val="005E6842"/>
    <w:rsid w:val="005E68EB"/>
    <w:rsid w:val="005F1A8A"/>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E46"/>
    <w:rsid w:val="006509D7"/>
    <w:rsid w:val="00651AD6"/>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758"/>
    <w:rsid w:val="006C5D31"/>
    <w:rsid w:val="006C7A24"/>
    <w:rsid w:val="006D09AB"/>
    <w:rsid w:val="006D0CB0"/>
    <w:rsid w:val="006D10F6"/>
    <w:rsid w:val="006D2B49"/>
    <w:rsid w:val="006D7EC6"/>
    <w:rsid w:val="006E1A4E"/>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A27"/>
    <w:rsid w:val="007064EA"/>
    <w:rsid w:val="00707993"/>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71BC9"/>
    <w:rsid w:val="00775869"/>
    <w:rsid w:val="00776169"/>
    <w:rsid w:val="00776747"/>
    <w:rsid w:val="00776D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799"/>
    <w:rsid w:val="007A495A"/>
    <w:rsid w:val="007A4EEA"/>
    <w:rsid w:val="007A54C1"/>
    <w:rsid w:val="007A64C0"/>
    <w:rsid w:val="007A7031"/>
    <w:rsid w:val="007B17F8"/>
    <w:rsid w:val="007B28BD"/>
    <w:rsid w:val="007C007E"/>
    <w:rsid w:val="007C0262"/>
    <w:rsid w:val="007C0E59"/>
    <w:rsid w:val="007C16C9"/>
    <w:rsid w:val="007C33F4"/>
    <w:rsid w:val="007C47AC"/>
    <w:rsid w:val="007C539D"/>
    <w:rsid w:val="007C5A7D"/>
    <w:rsid w:val="007C68DA"/>
    <w:rsid w:val="007D141A"/>
    <w:rsid w:val="007D283A"/>
    <w:rsid w:val="007D33EE"/>
    <w:rsid w:val="007D3994"/>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7F34"/>
    <w:rsid w:val="00840781"/>
    <w:rsid w:val="00840D64"/>
    <w:rsid w:val="008434B7"/>
    <w:rsid w:val="008449EC"/>
    <w:rsid w:val="00844FFD"/>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299"/>
    <w:rsid w:val="008859D3"/>
    <w:rsid w:val="00892950"/>
    <w:rsid w:val="00895576"/>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900E4A"/>
    <w:rsid w:val="00901B0D"/>
    <w:rsid w:val="00901B4D"/>
    <w:rsid w:val="00903A20"/>
    <w:rsid w:val="009046E4"/>
    <w:rsid w:val="009059DB"/>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7AA4"/>
    <w:rsid w:val="009508DE"/>
    <w:rsid w:val="00951CB9"/>
    <w:rsid w:val="00952C5F"/>
    <w:rsid w:val="00953912"/>
    <w:rsid w:val="00954740"/>
    <w:rsid w:val="00957918"/>
    <w:rsid w:val="00960857"/>
    <w:rsid w:val="00960B1C"/>
    <w:rsid w:val="009610B1"/>
    <w:rsid w:val="00962004"/>
    <w:rsid w:val="00963EFC"/>
    <w:rsid w:val="009649C1"/>
    <w:rsid w:val="00964DEA"/>
    <w:rsid w:val="00965D0C"/>
    <w:rsid w:val="00966E25"/>
    <w:rsid w:val="0096729A"/>
    <w:rsid w:val="00967C4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2478"/>
    <w:rsid w:val="00A13A9E"/>
    <w:rsid w:val="00A1411D"/>
    <w:rsid w:val="00A14167"/>
    <w:rsid w:val="00A14328"/>
    <w:rsid w:val="00A159ED"/>
    <w:rsid w:val="00A1614E"/>
    <w:rsid w:val="00A167FC"/>
    <w:rsid w:val="00A217AB"/>
    <w:rsid w:val="00A22102"/>
    <w:rsid w:val="00A23526"/>
    <w:rsid w:val="00A23DDA"/>
    <w:rsid w:val="00A24540"/>
    <w:rsid w:val="00A24A15"/>
    <w:rsid w:val="00A27181"/>
    <w:rsid w:val="00A317C9"/>
    <w:rsid w:val="00A3284D"/>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C20"/>
    <w:rsid w:val="00AC337D"/>
    <w:rsid w:val="00AC4128"/>
    <w:rsid w:val="00AC4733"/>
    <w:rsid w:val="00AD0385"/>
    <w:rsid w:val="00AD09A4"/>
    <w:rsid w:val="00AD22A7"/>
    <w:rsid w:val="00AD24CB"/>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6139"/>
    <w:rsid w:val="00B1169C"/>
    <w:rsid w:val="00B12170"/>
    <w:rsid w:val="00B122FA"/>
    <w:rsid w:val="00B14DB8"/>
    <w:rsid w:val="00B17AE3"/>
    <w:rsid w:val="00B24420"/>
    <w:rsid w:val="00B2586B"/>
    <w:rsid w:val="00B25955"/>
    <w:rsid w:val="00B261C1"/>
    <w:rsid w:val="00B27EE0"/>
    <w:rsid w:val="00B30727"/>
    <w:rsid w:val="00B317FF"/>
    <w:rsid w:val="00B345A1"/>
    <w:rsid w:val="00B4012E"/>
    <w:rsid w:val="00B432A7"/>
    <w:rsid w:val="00B45003"/>
    <w:rsid w:val="00B5110F"/>
    <w:rsid w:val="00B51548"/>
    <w:rsid w:val="00B51EA1"/>
    <w:rsid w:val="00B52EF3"/>
    <w:rsid w:val="00B548A4"/>
    <w:rsid w:val="00B54F4B"/>
    <w:rsid w:val="00B55C1F"/>
    <w:rsid w:val="00B56490"/>
    <w:rsid w:val="00B5652A"/>
    <w:rsid w:val="00B57A29"/>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305C"/>
    <w:rsid w:val="00C648EB"/>
    <w:rsid w:val="00C70A82"/>
    <w:rsid w:val="00C70B76"/>
    <w:rsid w:val="00C72075"/>
    <w:rsid w:val="00C7249A"/>
    <w:rsid w:val="00C74C81"/>
    <w:rsid w:val="00C750EA"/>
    <w:rsid w:val="00C75D02"/>
    <w:rsid w:val="00C76811"/>
    <w:rsid w:val="00C80B5A"/>
    <w:rsid w:val="00C82B59"/>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3D8"/>
    <w:rsid w:val="00D14B07"/>
    <w:rsid w:val="00D16419"/>
    <w:rsid w:val="00D17573"/>
    <w:rsid w:val="00D17BDF"/>
    <w:rsid w:val="00D227F2"/>
    <w:rsid w:val="00D2529C"/>
    <w:rsid w:val="00D30368"/>
    <w:rsid w:val="00D3050D"/>
    <w:rsid w:val="00D30622"/>
    <w:rsid w:val="00D30B1E"/>
    <w:rsid w:val="00D31C91"/>
    <w:rsid w:val="00D3201A"/>
    <w:rsid w:val="00D3442C"/>
    <w:rsid w:val="00D35D36"/>
    <w:rsid w:val="00D36E24"/>
    <w:rsid w:val="00D373A4"/>
    <w:rsid w:val="00D474FF"/>
    <w:rsid w:val="00D50079"/>
    <w:rsid w:val="00D50DCB"/>
    <w:rsid w:val="00D51D76"/>
    <w:rsid w:val="00D529D9"/>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E7A"/>
    <w:rsid w:val="00DA13D9"/>
    <w:rsid w:val="00DA318B"/>
    <w:rsid w:val="00DA49ED"/>
    <w:rsid w:val="00DA5D6A"/>
    <w:rsid w:val="00DB0DD0"/>
    <w:rsid w:val="00DB0E1C"/>
    <w:rsid w:val="00DB22A6"/>
    <w:rsid w:val="00DB2981"/>
    <w:rsid w:val="00DB3EDD"/>
    <w:rsid w:val="00DB4693"/>
    <w:rsid w:val="00DB4FB2"/>
    <w:rsid w:val="00DB5035"/>
    <w:rsid w:val="00DB584D"/>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E13"/>
    <w:rsid w:val="00E04B09"/>
    <w:rsid w:val="00E05E10"/>
    <w:rsid w:val="00E06D4E"/>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F5F"/>
    <w:rsid w:val="00E746E0"/>
    <w:rsid w:val="00E757FD"/>
    <w:rsid w:val="00E75917"/>
    <w:rsid w:val="00E83421"/>
    <w:rsid w:val="00E857AD"/>
    <w:rsid w:val="00E859D0"/>
    <w:rsid w:val="00E914E0"/>
    <w:rsid w:val="00E9262B"/>
    <w:rsid w:val="00E93DE4"/>
    <w:rsid w:val="00E94CD0"/>
    <w:rsid w:val="00E94FA4"/>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93B"/>
    <w:rsid w:val="00EE2D7F"/>
    <w:rsid w:val="00EE31CB"/>
    <w:rsid w:val="00EE3F04"/>
    <w:rsid w:val="00EE6178"/>
    <w:rsid w:val="00EE6541"/>
    <w:rsid w:val="00EE6C14"/>
    <w:rsid w:val="00EE7424"/>
    <w:rsid w:val="00EE7F4E"/>
    <w:rsid w:val="00EF0CC4"/>
    <w:rsid w:val="00EF340F"/>
    <w:rsid w:val="00EF4142"/>
    <w:rsid w:val="00EF533D"/>
    <w:rsid w:val="00EF5FC4"/>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38B5"/>
    <w:rsid w:val="00F451AD"/>
    <w:rsid w:val="00F463BA"/>
    <w:rsid w:val="00F47256"/>
    <w:rsid w:val="00F47A99"/>
    <w:rsid w:val="00F547FB"/>
    <w:rsid w:val="00F60E6F"/>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22D0"/>
    <w:rsid w:val="00FA49AE"/>
    <w:rsid w:val="00FA4EFD"/>
    <w:rsid w:val="00FA56ED"/>
    <w:rsid w:val="00FA6352"/>
    <w:rsid w:val="00FA720C"/>
    <w:rsid w:val="00FA7BA5"/>
    <w:rsid w:val="00FB00D1"/>
    <w:rsid w:val="00FB1F0B"/>
    <w:rsid w:val="00FB2852"/>
    <w:rsid w:val="00FB3B6B"/>
    <w:rsid w:val="00FB3C5B"/>
    <w:rsid w:val="00FB4650"/>
    <w:rsid w:val="00FB5AC2"/>
    <w:rsid w:val="00FB5E56"/>
    <w:rsid w:val="00FB6510"/>
    <w:rsid w:val="00FB6642"/>
    <w:rsid w:val="00FB73F9"/>
    <w:rsid w:val="00FC1550"/>
    <w:rsid w:val="00FC1E58"/>
    <w:rsid w:val="00FC265A"/>
    <w:rsid w:val="00FC381C"/>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9630209"/>
    <w:rsid w:val="0D9C70D9"/>
    <w:rsid w:val="0DE7465B"/>
    <w:rsid w:val="10185A7B"/>
    <w:rsid w:val="12C50C1A"/>
    <w:rsid w:val="17F301A9"/>
    <w:rsid w:val="19EF1374"/>
    <w:rsid w:val="1A95003E"/>
    <w:rsid w:val="1B813CE0"/>
    <w:rsid w:val="200643E5"/>
    <w:rsid w:val="22624C8B"/>
    <w:rsid w:val="2F7A734E"/>
    <w:rsid w:val="37672FB0"/>
    <w:rsid w:val="381C5B0D"/>
    <w:rsid w:val="3A8F55CD"/>
    <w:rsid w:val="3B537E3D"/>
    <w:rsid w:val="40482E6A"/>
    <w:rsid w:val="4DDB6F48"/>
    <w:rsid w:val="4DF0361D"/>
    <w:rsid w:val="4E9F73FB"/>
    <w:rsid w:val="5172570A"/>
    <w:rsid w:val="52C771B4"/>
    <w:rsid w:val="54E86EE4"/>
    <w:rsid w:val="55AC4B21"/>
    <w:rsid w:val="5AA727CA"/>
    <w:rsid w:val="5CF01AC2"/>
    <w:rsid w:val="5D4E5899"/>
    <w:rsid w:val="60895EF6"/>
    <w:rsid w:val="612748DD"/>
    <w:rsid w:val="63F60F25"/>
    <w:rsid w:val="68CE4C4D"/>
    <w:rsid w:val="69955344"/>
    <w:rsid w:val="6B5A63A7"/>
    <w:rsid w:val="6B6507A9"/>
    <w:rsid w:val="6F376AE5"/>
    <w:rsid w:val="747B6D6D"/>
    <w:rsid w:val="75171D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uiPriority="99" w:unhideWhenUsed="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13CA1"/>
    <w:pPr>
      <w:widowControl w:val="0"/>
      <w:jc w:val="both"/>
    </w:pPr>
    <w:rPr>
      <w:kern w:val="2"/>
      <w:sz w:val="21"/>
      <w:szCs w:val="24"/>
    </w:rPr>
  </w:style>
  <w:style w:type="paragraph" w:styleId="1">
    <w:name w:val="heading 1"/>
    <w:basedOn w:val="a"/>
    <w:next w:val="a"/>
    <w:link w:val="1Char"/>
    <w:qFormat/>
    <w:rsid w:val="00013CA1"/>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013CA1"/>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13CA1"/>
    <w:pPr>
      <w:spacing w:before="152" w:after="160" w:line="460" w:lineRule="exact"/>
    </w:pPr>
    <w:rPr>
      <w:rFonts w:ascii="Arial" w:eastAsia="黑体" w:hAnsi="Arial"/>
      <w:szCs w:val="20"/>
    </w:rPr>
  </w:style>
  <w:style w:type="paragraph" w:styleId="a4">
    <w:name w:val="Document Map"/>
    <w:basedOn w:val="a"/>
    <w:link w:val="Char"/>
    <w:semiHidden/>
    <w:qFormat/>
    <w:rsid w:val="00013CA1"/>
    <w:rPr>
      <w:rFonts w:ascii="宋体"/>
      <w:kern w:val="0"/>
      <w:sz w:val="18"/>
      <w:szCs w:val="18"/>
    </w:rPr>
  </w:style>
  <w:style w:type="paragraph" w:styleId="a5">
    <w:name w:val="annotation text"/>
    <w:basedOn w:val="a"/>
    <w:link w:val="Char0"/>
    <w:qFormat/>
    <w:rsid w:val="00013CA1"/>
    <w:pPr>
      <w:spacing w:line="460" w:lineRule="exact"/>
      <w:jc w:val="left"/>
    </w:pPr>
    <w:rPr>
      <w:rFonts w:ascii="Calibri" w:hAnsi="Calibri"/>
      <w:szCs w:val="21"/>
    </w:rPr>
  </w:style>
  <w:style w:type="paragraph" w:styleId="a6">
    <w:name w:val="Body Text"/>
    <w:basedOn w:val="a"/>
    <w:link w:val="Char1"/>
    <w:qFormat/>
    <w:rsid w:val="00013CA1"/>
    <w:pPr>
      <w:spacing w:line="380" w:lineRule="exact"/>
    </w:pPr>
    <w:rPr>
      <w:rFonts w:eastAsia="仿宋_GB2312"/>
      <w:sz w:val="28"/>
      <w:szCs w:val="20"/>
    </w:rPr>
  </w:style>
  <w:style w:type="paragraph" w:styleId="a7">
    <w:name w:val="Body Text Indent"/>
    <w:basedOn w:val="a"/>
    <w:link w:val="Char2"/>
    <w:qFormat/>
    <w:rsid w:val="00013CA1"/>
    <w:pPr>
      <w:spacing w:line="460" w:lineRule="exact"/>
      <w:ind w:firstLine="630"/>
    </w:pPr>
    <w:rPr>
      <w:rFonts w:ascii="仿宋_GB2312" w:eastAsia="仿宋_GB2312"/>
      <w:sz w:val="32"/>
      <w:szCs w:val="20"/>
    </w:rPr>
  </w:style>
  <w:style w:type="paragraph" w:styleId="a8">
    <w:name w:val="Plain Text"/>
    <w:basedOn w:val="a"/>
    <w:link w:val="Char3"/>
    <w:qFormat/>
    <w:rsid w:val="00013CA1"/>
    <w:pPr>
      <w:spacing w:line="460" w:lineRule="exact"/>
    </w:pPr>
    <w:rPr>
      <w:rFonts w:ascii="宋体" w:hAnsi="Courier New"/>
      <w:szCs w:val="20"/>
    </w:rPr>
  </w:style>
  <w:style w:type="paragraph" w:styleId="a9">
    <w:name w:val="Date"/>
    <w:basedOn w:val="a"/>
    <w:next w:val="a"/>
    <w:link w:val="Char4"/>
    <w:qFormat/>
    <w:rsid w:val="00013CA1"/>
    <w:pPr>
      <w:ind w:leftChars="2500" w:left="100"/>
    </w:pPr>
    <w:rPr>
      <w:kern w:val="0"/>
      <w:sz w:val="24"/>
    </w:rPr>
  </w:style>
  <w:style w:type="paragraph" w:styleId="20">
    <w:name w:val="Body Text Indent 2"/>
    <w:basedOn w:val="a"/>
    <w:link w:val="2Char0"/>
    <w:qFormat/>
    <w:rsid w:val="00013CA1"/>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sid w:val="00013CA1"/>
    <w:rPr>
      <w:kern w:val="0"/>
      <w:sz w:val="18"/>
      <w:szCs w:val="18"/>
    </w:rPr>
  </w:style>
  <w:style w:type="paragraph" w:styleId="ab">
    <w:name w:val="footer"/>
    <w:basedOn w:val="a"/>
    <w:link w:val="Char6"/>
    <w:uiPriority w:val="99"/>
    <w:qFormat/>
    <w:rsid w:val="00013CA1"/>
    <w:pPr>
      <w:tabs>
        <w:tab w:val="center" w:pos="4153"/>
        <w:tab w:val="right" w:pos="8306"/>
      </w:tabs>
      <w:snapToGrid w:val="0"/>
      <w:jc w:val="left"/>
    </w:pPr>
    <w:rPr>
      <w:kern w:val="0"/>
      <w:sz w:val="18"/>
      <w:szCs w:val="18"/>
    </w:rPr>
  </w:style>
  <w:style w:type="paragraph" w:styleId="ac">
    <w:name w:val="header"/>
    <w:basedOn w:val="a"/>
    <w:link w:val="Char7"/>
    <w:qFormat/>
    <w:rsid w:val="00013CA1"/>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013CA1"/>
    <w:pPr>
      <w:adjustRightInd w:val="0"/>
      <w:snapToGrid w:val="0"/>
      <w:spacing w:line="360" w:lineRule="auto"/>
      <w:ind w:left="75" w:firstLine="345"/>
      <w:outlineLvl w:val="0"/>
    </w:pPr>
    <w:rPr>
      <w:rFonts w:ascii="宋体"/>
      <w:kern w:val="0"/>
      <w:szCs w:val="21"/>
    </w:rPr>
  </w:style>
  <w:style w:type="paragraph" w:styleId="ad">
    <w:name w:val="Normal (Web)"/>
    <w:basedOn w:val="a"/>
    <w:qFormat/>
    <w:rsid w:val="00013CA1"/>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sid w:val="00013CA1"/>
    <w:rPr>
      <w:b/>
      <w:bCs/>
    </w:rPr>
  </w:style>
  <w:style w:type="table" w:styleId="af">
    <w:name w:val="Table Grid"/>
    <w:basedOn w:val="a1"/>
    <w:qFormat/>
    <w:rsid w:val="00013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qFormat/>
    <w:rsid w:val="00013CA1"/>
    <w:rPr>
      <w:rFonts w:cs="Times New Roman"/>
    </w:rPr>
  </w:style>
  <w:style w:type="character" w:styleId="af1">
    <w:name w:val="FollowedHyperlink"/>
    <w:qFormat/>
    <w:rsid w:val="00013CA1"/>
    <w:rPr>
      <w:rFonts w:cs="Times New Roman"/>
      <w:color w:val="800080"/>
      <w:u w:val="single"/>
    </w:rPr>
  </w:style>
  <w:style w:type="character" w:styleId="af2">
    <w:name w:val="Hyperlink"/>
    <w:qFormat/>
    <w:rsid w:val="00013CA1"/>
    <w:rPr>
      <w:rFonts w:cs="Times New Roman"/>
      <w:color w:val="1B227E"/>
      <w:u w:val="none"/>
    </w:rPr>
  </w:style>
  <w:style w:type="character" w:styleId="af3">
    <w:name w:val="annotation reference"/>
    <w:semiHidden/>
    <w:qFormat/>
    <w:rsid w:val="00013CA1"/>
    <w:rPr>
      <w:rFonts w:cs="Times New Roman"/>
      <w:sz w:val="21"/>
      <w:szCs w:val="21"/>
    </w:rPr>
  </w:style>
  <w:style w:type="character" w:styleId="af4">
    <w:name w:val="footnote reference"/>
    <w:semiHidden/>
    <w:qFormat/>
    <w:rsid w:val="00013CA1"/>
    <w:rPr>
      <w:rFonts w:cs="Times New Roman"/>
      <w:vertAlign w:val="superscript"/>
    </w:rPr>
  </w:style>
  <w:style w:type="paragraph" w:customStyle="1" w:styleId="af5">
    <w:name w:val="大标题"/>
    <w:basedOn w:val="a"/>
    <w:qFormat/>
    <w:rsid w:val="00013CA1"/>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013CA1"/>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sid w:val="00013CA1"/>
    <w:rPr>
      <w:kern w:val="2"/>
      <w:sz w:val="21"/>
      <w:szCs w:val="24"/>
    </w:rPr>
  </w:style>
  <w:style w:type="paragraph" w:customStyle="1" w:styleId="reader-word-layerreader-word-s19-13">
    <w:name w:val="reader-word-layer reader-word-s19-13"/>
    <w:basedOn w:val="a"/>
    <w:qFormat/>
    <w:rsid w:val="00013CA1"/>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013CA1"/>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sid w:val="00013CA1"/>
    <w:rPr>
      <w:kern w:val="2"/>
      <w:sz w:val="21"/>
      <w:szCs w:val="24"/>
    </w:rPr>
  </w:style>
  <w:style w:type="paragraph" w:customStyle="1" w:styleId="af6">
    <w:name w:val="函号"/>
    <w:basedOn w:val="a"/>
    <w:qFormat/>
    <w:rsid w:val="00013CA1"/>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rsid w:val="00013CA1"/>
    <w:pPr>
      <w:ind w:firstLineChars="200" w:firstLine="420"/>
    </w:pPr>
  </w:style>
  <w:style w:type="paragraph" w:customStyle="1" w:styleId="af7">
    <w:name w:val="文号"/>
    <w:basedOn w:val="a"/>
    <w:qFormat/>
    <w:rsid w:val="00013CA1"/>
    <w:pPr>
      <w:adjustRightInd w:val="0"/>
      <w:spacing w:before="2550" w:line="360" w:lineRule="atLeast"/>
      <w:jc w:val="center"/>
      <w:textAlignment w:val="baseline"/>
    </w:pPr>
    <w:rPr>
      <w:rFonts w:eastAsia="仿宋_GB2312"/>
      <w:kern w:val="0"/>
      <w:sz w:val="28"/>
      <w:szCs w:val="20"/>
    </w:rPr>
  </w:style>
  <w:style w:type="paragraph" w:customStyle="1" w:styleId="af8">
    <w:name w:val="主题词"/>
    <w:basedOn w:val="a"/>
    <w:qFormat/>
    <w:rsid w:val="00013CA1"/>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sid w:val="00013CA1"/>
    <w:rPr>
      <w:rFonts w:cs="Times New Roman"/>
      <w:b/>
      <w:bCs/>
      <w:kern w:val="44"/>
      <w:sz w:val="44"/>
      <w:szCs w:val="44"/>
    </w:rPr>
  </w:style>
  <w:style w:type="character" w:customStyle="1" w:styleId="Char2">
    <w:name w:val="正文文本缩进 Char"/>
    <w:link w:val="a7"/>
    <w:qFormat/>
    <w:locked/>
    <w:rsid w:val="00013CA1"/>
    <w:rPr>
      <w:rFonts w:ascii="仿宋_GB2312" w:eastAsia="仿宋_GB2312" w:cs="Times New Roman"/>
      <w:kern w:val="2"/>
      <w:sz w:val="32"/>
    </w:rPr>
  </w:style>
  <w:style w:type="character" w:customStyle="1" w:styleId="2Char">
    <w:name w:val="标题 2 Char"/>
    <w:link w:val="2"/>
    <w:qFormat/>
    <w:locked/>
    <w:rsid w:val="00013CA1"/>
    <w:rPr>
      <w:rFonts w:ascii="宋体" w:eastAsia="宋体" w:cs="Times New Roman"/>
      <w:b/>
      <w:bCs/>
      <w:sz w:val="36"/>
      <w:szCs w:val="36"/>
    </w:rPr>
  </w:style>
  <w:style w:type="character" w:customStyle="1" w:styleId="3Char">
    <w:name w:val="正文文本缩进 3 Char"/>
    <w:link w:val="3"/>
    <w:qFormat/>
    <w:locked/>
    <w:rsid w:val="00013CA1"/>
    <w:rPr>
      <w:rFonts w:ascii="宋体" w:eastAsia="宋体" w:cs="Times New Roman"/>
      <w:sz w:val="21"/>
      <w:szCs w:val="21"/>
    </w:rPr>
  </w:style>
  <w:style w:type="character" w:customStyle="1" w:styleId="edited2">
    <w:name w:val="edited2"/>
    <w:qFormat/>
    <w:rsid w:val="00013CA1"/>
    <w:rPr>
      <w:rFonts w:cs="Times New Roman"/>
    </w:rPr>
  </w:style>
  <w:style w:type="character" w:customStyle="1" w:styleId="2Char0">
    <w:name w:val="正文文本缩进 2 Char"/>
    <w:link w:val="20"/>
    <w:qFormat/>
    <w:locked/>
    <w:rsid w:val="00013CA1"/>
    <w:rPr>
      <w:rFonts w:ascii="仿宋_GB2312" w:eastAsia="仿宋_GB2312" w:cs="Times New Roman"/>
      <w:sz w:val="28"/>
    </w:rPr>
  </w:style>
  <w:style w:type="character" w:customStyle="1" w:styleId="high-light-bg4">
    <w:name w:val="high-light-bg4"/>
    <w:qFormat/>
    <w:rsid w:val="00013CA1"/>
    <w:rPr>
      <w:rFonts w:cs="Times New Roman"/>
    </w:rPr>
  </w:style>
  <w:style w:type="character" w:customStyle="1" w:styleId="Char3">
    <w:name w:val="纯文本 Char"/>
    <w:link w:val="a8"/>
    <w:qFormat/>
    <w:locked/>
    <w:rsid w:val="00013CA1"/>
    <w:rPr>
      <w:rFonts w:ascii="宋体" w:hAnsi="Courier New" w:cs="Times New Roman"/>
      <w:kern w:val="2"/>
      <w:sz w:val="21"/>
    </w:rPr>
  </w:style>
  <w:style w:type="character" w:customStyle="1" w:styleId="Char0">
    <w:name w:val="批注文字 Char"/>
    <w:link w:val="a5"/>
    <w:qFormat/>
    <w:locked/>
    <w:rsid w:val="00013CA1"/>
    <w:rPr>
      <w:rFonts w:ascii="Calibri" w:hAnsi="Calibri" w:cs="Calibri"/>
      <w:kern w:val="2"/>
      <w:sz w:val="21"/>
      <w:szCs w:val="21"/>
    </w:rPr>
  </w:style>
  <w:style w:type="character" w:customStyle="1" w:styleId="unnamed2">
    <w:name w:val="unnamed2"/>
    <w:qFormat/>
    <w:rsid w:val="00013CA1"/>
    <w:rPr>
      <w:rFonts w:cs="Times New Roman"/>
    </w:rPr>
  </w:style>
  <w:style w:type="character" w:customStyle="1" w:styleId="Char7">
    <w:name w:val="页眉 Char"/>
    <w:link w:val="ac"/>
    <w:qFormat/>
    <w:locked/>
    <w:rsid w:val="00013CA1"/>
    <w:rPr>
      <w:rFonts w:cs="Times New Roman"/>
      <w:sz w:val="18"/>
      <w:szCs w:val="18"/>
    </w:rPr>
  </w:style>
  <w:style w:type="character" w:customStyle="1" w:styleId="Char4">
    <w:name w:val="日期 Char"/>
    <w:link w:val="a9"/>
    <w:qFormat/>
    <w:locked/>
    <w:rsid w:val="00013CA1"/>
    <w:rPr>
      <w:rFonts w:cs="Times New Roman"/>
      <w:sz w:val="24"/>
      <w:szCs w:val="24"/>
    </w:rPr>
  </w:style>
  <w:style w:type="character" w:customStyle="1" w:styleId="Char1">
    <w:name w:val="正文文本 Char"/>
    <w:link w:val="a6"/>
    <w:qFormat/>
    <w:locked/>
    <w:rsid w:val="00013CA1"/>
    <w:rPr>
      <w:rFonts w:eastAsia="仿宋_GB2312" w:cs="Times New Roman"/>
      <w:kern w:val="2"/>
      <w:sz w:val="28"/>
    </w:rPr>
  </w:style>
  <w:style w:type="character" w:customStyle="1" w:styleId="Char6">
    <w:name w:val="页脚 Char"/>
    <w:link w:val="ab"/>
    <w:uiPriority w:val="99"/>
    <w:qFormat/>
    <w:locked/>
    <w:rsid w:val="00013CA1"/>
    <w:rPr>
      <w:rFonts w:cs="Times New Roman"/>
      <w:sz w:val="18"/>
      <w:szCs w:val="18"/>
    </w:rPr>
  </w:style>
  <w:style w:type="character" w:customStyle="1" w:styleId="Char">
    <w:name w:val="文档结构图 Char"/>
    <w:link w:val="a4"/>
    <w:qFormat/>
    <w:locked/>
    <w:rsid w:val="00013CA1"/>
    <w:rPr>
      <w:rFonts w:ascii="宋体" w:cs="Times New Roman"/>
      <w:sz w:val="18"/>
      <w:szCs w:val="18"/>
    </w:rPr>
  </w:style>
  <w:style w:type="character" w:customStyle="1" w:styleId="Char8">
    <w:name w:val="批注主题 Char"/>
    <w:link w:val="ae"/>
    <w:semiHidden/>
    <w:qFormat/>
    <w:locked/>
    <w:rsid w:val="00013CA1"/>
    <w:rPr>
      <w:rFonts w:ascii="Calibri" w:hAnsi="Calibri" w:cs="Calibri"/>
      <w:b/>
      <w:bCs/>
      <w:kern w:val="2"/>
      <w:sz w:val="21"/>
      <w:szCs w:val="21"/>
    </w:rPr>
  </w:style>
  <w:style w:type="character" w:customStyle="1" w:styleId="Char5">
    <w:name w:val="批注框文本 Char"/>
    <w:link w:val="aa"/>
    <w:qFormat/>
    <w:locked/>
    <w:rsid w:val="00013CA1"/>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2232</Words>
  <Characters>12725</Characters>
  <Application>Microsoft Office Word</Application>
  <DocSecurity>0</DocSecurity>
  <Lines>106</Lines>
  <Paragraphs>29</Paragraphs>
  <ScaleCrop>false</ScaleCrop>
  <Company>sdu</Company>
  <LinksUpToDate>false</LinksUpToDate>
  <CharactersWithSpaces>14928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Lenovo</cp:lastModifiedBy>
  <cp:revision>1</cp:revision>
  <cp:lastPrinted>2019-04-17T01:33:00Z</cp:lastPrinted>
  <dcterms:created xsi:type="dcterms:W3CDTF">2020-06-25T00:11:00Z</dcterms:created>
  <dcterms:modified xsi:type="dcterms:W3CDTF">2020-07-03T08:03:00Z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